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1954" w14:textId="77777777" w:rsidR="005E2C0E" w:rsidRDefault="005E2C0E" w:rsidP="00542699">
      <w:pPr>
        <w:spacing w:after="0" w:line="240" w:lineRule="auto"/>
        <w:rPr>
          <w:rFonts w:asciiTheme="majorHAnsi" w:hAnsiTheme="majorHAnsi" w:cstheme="majorHAnsi"/>
          <w:bCs/>
          <w:color w:val="005596"/>
          <w:sz w:val="36"/>
          <w:szCs w:val="36"/>
        </w:rPr>
      </w:pPr>
      <w:r w:rsidRPr="00AF05D3">
        <w:rPr>
          <w:noProof/>
          <w:sz w:val="20"/>
          <w:szCs w:val="20"/>
        </w:rPr>
        <w:drawing>
          <wp:inline distT="0" distB="0" distL="0" distR="0" wp14:anchorId="16BF6D0A" wp14:editId="5E84D7DF">
            <wp:extent cx="5943600" cy="9658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1256B48A" w14:textId="286897C0" w:rsidR="00542699" w:rsidRPr="005E2C0E" w:rsidRDefault="00542699" w:rsidP="005E2C0E">
      <w:pPr>
        <w:spacing w:before="120" w:after="0" w:line="240" w:lineRule="auto"/>
        <w:rPr>
          <w:rFonts w:asciiTheme="majorHAnsi" w:hAnsiTheme="majorHAnsi" w:cstheme="majorHAnsi"/>
          <w:bCs/>
          <w:color w:val="005596"/>
          <w:sz w:val="36"/>
          <w:szCs w:val="36"/>
        </w:rPr>
      </w:pPr>
      <w:r w:rsidRPr="005E2C0E">
        <w:rPr>
          <w:rFonts w:asciiTheme="majorHAnsi" w:hAnsiTheme="majorHAnsi" w:cstheme="majorHAnsi"/>
          <w:bCs/>
          <w:color w:val="005596"/>
          <w:sz w:val="36"/>
          <w:szCs w:val="36"/>
        </w:rPr>
        <w:t>Require Collision</w:t>
      </w:r>
      <w:r w:rsidR="00A95645" w:rsidRPr="005E2C0E">
        <w:rPr>
          <w:rFonts w:asciiTheme="majorHAnsi" w:hAnsiTheme="majorHAnsi" w:cstheme="majorHAnsi"/>
          <w:bCs/>
          <w:color w:val="005596"/>
          <w:sz w:val="36"/>
          <w:szCs w:val="36"/>
        </w:rPr>
        <w:t>-</w:t>
      </w:r>
      <w:r w:rsidRPr="005E2C0E">
        <w:rPr>
          <w:rFonts w:asciiTheme="majorHAnsi" w:hAnsiTheme="majorHAnsi" w:cstheme="majorHAnsi"/>
          <w:bCs/>
          <w:color w:val="005596"/>
          <w:sz w:val="36"/>
          <w:szCs w:val="36"/>
        </w:rPr>
        <w:t>Avoidance and Connected</w:t>
      </w:r>
      <w:r w:rsidR="00A95645" w:rsidRPr="005E2C0E">
        <w:rPr>
          <w:rFonts w:asciiTheme="majorHAnsi" w:hAnsiTheme="majorHAnsi" w:cstheme="majorHAnsi"/>
          <w:bCs/>
          <w:color w:val="005596"/>
          <w:sz w:val="36"/>
          <w:szCs w:val="36"/>
        </w:rPr>
        <w:t>-</w:t>
      </w:r>
      <w:r w:rsidRPr="005E2C0E">
        <w:rPr>
          <w:rFonts w:asciiTheme="majorHAnsi" w:hAnsiTheme="majorHAnsi" w:cstheme="majorHAnsi"/>
          <w:bCs/>
          <w:color w:val="005596"/>
          <w:sz w:val="36"/>
          <w:szCs w:val="36"/>
        </w:rPr>
        <w:t xml:space="preserve">Vehicle Technologies on </w:t>
      </w:r>
      <w:r w:rsidR="00F6034D" w:rsidRPr="005E2C0E">
        <w:rPr>
          <w:rFonts w:asciiTheme="majorHAnsi" w:hAnsiTheme="majorHAnsi" w:cstheme="majorHAnsi"/>
          <w:bCs/>
          <w:color w:val="005596"/>
          <w:sz w:val="36"/>
          <w:szCs w:val="36"/>
        </w:rPr>
        <w:t xml:space="preserve">all </w:t>
      </w:r>
      <w:r w:rsidRPr="005E2C0E">
        <w:rPr>
          <w:rFonts w:asciiTheme="majorHAnsi" w:hAnsiTheme="majorHAnsi" w:cstheme="majorHAnsi"/>
          <w:bCs/>
          <w:color w:val="005596"/>
          <w:sz w:val="36"/>
          <w:szCs w:val="36"/>
        </w:rPr>
        <w:t>Vehicles</w:t>
      </w:r>
    </w:p>
    <w:p w14:paraId="0B548F15" w14:textId="30E2A4B0" w:rsidR="0DCDFC66" w:rsidRDefault="00EA5A1C" w:rsidP="0DCDFC66">
      <w:pPr>
        <w:spacing w:after="0" w:line="240" w:lineRule="auto"/>
        <w:rPr>
          <w:rFonts w:eastAsia="Calibri"/>
          <w:sz w:val="24"/>
          <w:szCs w:val="24"/>
        </w:rPr>
      </w:pPr>
      <w:r>
        <w:rPr>
          <w:rFonts w:cstheme="minorHAnsi"/>
          <w:noProof/>
          <w:sz w:val="24"/>
          <w:szCs w:val="24"/>
        </w:rPr>
        <w:pict w14:anchorId="01D4B92D">
          <v:rect id="_x0000_i1025" alt="" style="width:468pt;height:.05pt;mso-width-percent:0;mso-height-percent:0;mso-width-percent:0;mso-height-percent:0" o:hralign="center" o:hrstd="t" o:hr="t" fillcolor="#a0a0a0" stroked="f"/>
        </w:pict>
      </w:r>
    </w:p>
    <w:p w14:paraId="4EB7B0D3" w14:textId="2910C4EB" w:rsidR="00542699" w:rsidRPr="005E2C0E" w:rsidRDefault="00542699" w:rsidP="005E2C0E">
      <w:pPr>
        <w:autoSpaceDE w:val="0"/>
        <w:autoSpaceDN w:val="0"/>
        <w:adjustRightInd w:val="0"/>
        <w:spacing w:after="0" w:line="240" w:lineRule="auto"/>
        <w:rPr>
          <w:rFonts w:eastAsia="Calibri"/>
          <w:sz w:val="28"/>
          <w:szCs w:val="28"/>
          <w:shd w:val="clear" w:color="auto" w:fill="FFFFFF"/>
        </w:rPr>
      </w:pPr>
      <w:r w:rsidRPr="005E2C0E">
        <w:rPr>
          <w:rFonts w:eastAsia="Calibri"/>
          <w:sz w:val="28"/>
          <w:szCs w:val="28"/>
          <w:shd w:val="clear" w:color="auto" w:fill="FFFFFF"/>
        </w:rPr>
        <w:t>The Use of Forward Collision Avoidance Systems to Prevent and Mitigate Rear</w:t>
      </w:r>
      <w:r w:rsidR="00E05A98" w:rsidRPr="005E2C0E">
        <w:rPr>
          <w:rFonts w:eastAsia="Calibri" w:cstheme="minorHAnsi"/>
          <w:sz w:val="28"/>
          <w:szCs w:val="28"/>
          <w:shd w:val="clear" w:color="auto" w:fill="FFFFFF"/>
        </w:rPr>
        <w:noBreakHyphen/>
      </w:r>
      <w:r w:rsidRPr="005E2C0E">
        <w:rPr>
          <w:rFonts w:eastAsia="Calibri"/>
          <w:sz w:val="28"/>
          <w:szCs w:val="28"/>
          <w:shd w:val="clear" w:color="auto" w:fill="FFFFFF"/>
        </w:rPr>
        <w:t>End Crashes</w:t>
      </w:r>
    </w:p>
    <w:p w14:paraId="4AAC64F6" w14:textId="34F661DB" w:rsidR="00542699" w:rsidRPr="00A90EFD" w:rsidRDefault="00542699" w:rsidP="00542699">
      <w:pPr>
        <w:autoSpaceDE w:val="0"/>
        <w:autoSpaceDN w:val="0"/>
        <w:adjustRightInd w:val="0"/>
        <w:spacing w:after="0" w:line="240" w:lineRule="auto"/>
        <w:rPr>
          <w:rFonts w:eastAsia="Calibri"/>
          <w:sz w:val="24"/>
          <w:szCs w:val="24"/>
          <w:shd w:val="clear" w:color="auto" w:fill="FFFFFF"/>
        </w:rPr>
      </w:pPr>
      <w:r w:rsidRPr="00A90EFD">
        <w:rPr>
          <w:rFonts w:eastAsia="Calibri"/>
          <w:sz w:val="24"/>
          <w:szCs w:val="24"/>
          <w:shd w:val="clear" w:color="auto" w:fill="FFFFFF"/>
        </w:rPr>
        <w:t>Special Investigation Report</w:t>
      </w:r>
    </w:p>
    <w:p w14:paraId="52AA030A" w14:textId="61C36A37" w:rsidR="00542699" w:rsidRPr="00A90EFD" w:rsidRDefault="00542699" w:rsidP="00542699">
      <w:pPr>
        <w:autoSpaceDE w:val="0"/>
        <w:autoSpaceDN w:val="0"/>
        <w:adjustRightInd w:val="0"/>
        <w:spacing w:after="0" w:line="240" w:lineRule="auto"/>
        <w:rPr>
          <w:rFonts w:eastAsia="Calibri"/>
          <w:sz w:val="24"/>
          <w:szCs w:val="24"/>
          <w:shd w:val="clear" w:color="auto" w:fill="FFFFFF"/>
        </w:rPr>
      </w:pPr>
      <w:r w:rsidRPr="00A90EFD">
        <w:rPr>
          <w:rFonts w:eastAsia="Calibri"/>
          <w:sz w:val="24"/>
          <w:szCs w:val="24"/>
          <w:shd w:val="clear" w:color="auto" w:fill="FFFFFF"/>
        </w:rPr>
        <w:t>Released May 19, 2015</w:t>
      </w:r>
    </w:p>
    <w:p w14:paraId="5F437005" w14:textId="77777777" w:rsidR="00542699" w:rsidRPr="005E2C0E" w:rsidRDefault="00542699" w:rsidP="00542699">
      <w:pPr>
        <w:autoSpaceDE w:val="0"/>
        <w:autoSpaceDN w:val="0"/>
        <w:adjustRightInd w:val="0"/>
        <w:spacing w:after="0" w:line="240" w:lineRule="auto"/>
        <w:rPr>
          <w:rFonts w:eastAsia="Calibri" w:cstheme="minorHAnsi"/>
          <w:sz w:val="24"/>
          <w:szCs w:val="24"/>
          <w:shd w:val="clear" w:color="auto" w:fill="FFFFFF"/>
        </w:rPr>
      </w:pPr>
    </w:p>
    <w:p w14:paraId="392D6468" w14:textId="7453EA10" w:rsidR="00542699" w:rsidRPr="00031B19" w:rsidRDefault="00542699" w:rsidP="00542699">
      <w:pPr>
        <w:autoSpaceDE w:val="0"/>
        <w:autoSpaceDN w:val="0"/>
        <w:adjustRightInd w:val="0"/>
        <w:spacing w:after="0" w:line="240" w:lineRule="auto"/>
        <w:rPr>
          <w:rFonts w:eastAsia="Calibri" w:cstheme="minorHAnsi"/>
          <w:color w:val="0000FF"/>
          <w:sz w:val="24"/>
          <w:szCs w:val="24"/>
          <w:u w:val="single"/>
          <w:shd w:val="clear" w:color="auto" w:fill="FFFFFF"/>
        </w:rPr>
      </w:pPr>
      <w:r>
        <w:rPr>
          <w:rFonts w:cstheme="minorHAnsi"/>
        </w:rPr>
        <w:t xml:space="preserve">This is an excerpt from the full investigative report. </w:t>
      </w:r>
      <w:r w:rsidRPr="00824FA2">
        <w:rPr>
          <w:rFonts w:cstheme="minorHAnsi"/>
          <w:b/>
          <w:bCs/>
        </w:rPr>
        <w:t>This information does not include all the safety issues, findings</w:t>
      </w:r>
      <w:r w:rsidR="00980F46">
        <w:rPr>
          <w:rFonts w:cstheme="minorHAnsi"/>
          <w:b/>
          <w:bCs/>
        </w:rPr>
        <w:t>,</w:t>
      </w:r>
      <w:r w:rsidRPr="00824FA2">
        <w:rPr>
          <w:rFonts w:cstheme="minorHAnsi"/>
          <w:b/>
          <w:bCs/>
        </w:rPr>
        <w:t xml:space="preserve"> and recommendations issued in the report, but instead focuses on </w:t>
      </w:r>
      <w:r w:rsidR="00D92059">
        <w:rPr>
          <w:rFonts w:cstheme="minorHAnsi"/>
          <w:b/>
          <w:bCs/>
        </w:rPr>
        <w:t>those that are</w:t>
      </w:r>
      <w:r w:rsidRPr="00824FA2">
        <w:rPr>
          <w:rFonts w:cstheme="minorHAnsi"/>
          <w:b/>
          <w:bCs/>
        </w:rPr>
        <w:t xml:space="preserve"> directly related to the safety item</w:t>
      </w:r>
      <w:r w:rsidRPr="002D6ABD">
        <w:rPr>
          <w:rFonts w:cstheme="minorHAnsi"/>
        </w:rPr>
        <w:t>.</w:t>
      </w:r>
      <w:r>
        <w:rPr>
          <w:rFonts w:cstheme="minorHAnsi"/>
        </w:rPr>
        <w:t xml:space="preserve"> Read the complete report </w:t>
      </w:r>
      <w:hyperlink r:id="rId11" w:history="1">
        <w:r w:rsidR="00C51FD8">
          <w:rPr>
            <w:rStyle w:val="Hyperlink"/>
            <w:rFonts w:cstheme="minorHAnsi"/>
            <w:sz w:val="24"/>
            <w:szCs w:val="24"/>
          </w:rPr>
          <w:t>https://www.ntsb.gov/safety/safety-studies/Documents/SIR1501.pdf</w:t>
        </w:r>
      </w:hyperlink>
    </w:p>
    <w:p w14:paraId="53EF83BF" w14:textId="08C7DA02" w:rsidR="0009275F" w:rsidRDefault="0009275F" w:rsidP="00B25AF6">
      <w:pPr>
        <w:spacing w:after="0" w:line="240" w:lineRule="auto"/>
        <w:rPr>
          <w:rFonts w:cstheme="minorHAnsi"/>
          <w:b/>
          <w:bCs/>
          <w:sz w:val="24"/>
          <w:szCs w:val="24"/>
        </w:rPr>
      </w:pPr>
    </w:p>
    <w:p w14:paraId="69786953" w14:textId="318999FD" w:rsidR="00C51FD8" w:rsidRDefault="005E2C0E" w:rsidP="5E886CDA">
      <w:pPr>
        <w:spacing w:after="0" w:line="240" w:lineRule="auto"/>
        <w:rPr>
          <w:b/>
          <w:bCs/>
          <w:sz w:val="24"/>
          <w:szCs w:val="24"/>
        </w:rPr>
      </w:pPr>
      <w:r w:rsidRPr="5E886CDA">
        <w:rPr>
          <w:b/>
          <w:bCs/>
          <w:sz w:val="24"/>
          <w:szCs w:val="24"/>
        </w:rPr>
        <w:t>Executive Summary</w:t>
      </w:r>
    </w:p>
    <w:p w14:paraId="06E54A38" w14:textId="77777777" w:rsidR="005E2C0E" w:rsidRPr="00031B19" w:rsidRDefault="005E2C0E" w:rsidP="5E886CDA">
      <w:pPr>
        <w:spacing w:after="0" w:line="240" w:lineRule="auto"/>
        <w:rPr>
          <w:b/>
          <w:bCs/>
          <w:sz w:val="24"/>
          <w:szCs w:val="24"/>
        </w:rPr>
      </w:pPr>
    </w:p>
    <w:p w14:paraId="7EB50876" w14:textId="16408C4B" w:rsidR="00C51FD8" w:rsidRDefault="00C51FD8" w:rsidP="00C51FD8">
      <w:pPr>
        <w:autoSpaceDE w:val="0"/>
        <w:autoSpaceDN w:val="0"/>
        <w:adjustRightInd w:val="0"/>
        <w:spacing w:after="0" w:line="240" w:lineRule="auto"/>
        <w:rPr>
          <w:rFonts w:cs="Times New Roman"/>
          <w:color w:val="000000"/>
          <w:sz w:val="24"/>
          <w:szCs w:val="24"/>
        </w:rPr>
      </w:pPr>
      <w:r w:rsidRPr="00C51FD8">
        <w:rPr>
          <w:rFonts w:cs="Times New Roman"/>
          <w:color w:val="000000"/>
          <w:sz w:val="24"/>
          <w:szCs w:val="24"/>
        </w:rPr>
        <w:t xml:space="preserve">In 2012 alone, more than 1.7 million rear-end crashes occurred on our nation’s highways, resulting in more than 1,700 fatalities and 500,000 injured people. Many of these crashes could have been mitigated, or possibly even prevented, had rear-end </w:t>
      </w:r>
      <w:r w:rsidR="00D72018" w:rsidRPr="00C51FD8">
        <w:rPr>
          <w:rFonts w:cs="Times New Roman"/>
          <w:color w:val="000000"/>
          <w:sz w:val="24"/>
          <w:szCs w:val="24"/>
        </w:rPr>
        <w:t>collision</w:t>
      </w:r>
      <w:r w:rsidR="00D72018">
        <w:rPr>
          <w:rFonts w:cs="Times New Roman"/>
          <w:color w:val="000000"/>
          <w:sz w:val="24"/>
          <w:szCs w:val="24"/>
        </w:rPr>
        <w:t>-</w:t>
      </w:r>
      <w:r w:rsidRPr="00C51FD8">
        <w:rPr>
          <w:rFonts w:cs="Times New Roman"/>
          <w:color w:val="000000"/>
          <w:sz w:val="24"/>
          <w:szCs w:val="24"/>
        </w:rPr>
        <w:t xml:space="preserve">avoidance technologies been in place. However, </w:t>
      </w:r>
      <w:proofErr w:type="gramStart"/>
      <w:r w:rsidRPr="00C51FD8">
        <w:rPr>
          <w:rFonts w:cs="Times New Roman"/>
          <w:color w:val="000000"/>
          <w:sz w:val="24"/>
          <w:szCs w:val="24"/>
        </w:rPr>
        <w:t>slow</w:t>
      </w:r>
      <w:proofErr w:type="gramEnd"/>
      <w:r w:rsidRPr="00C51FD8">
        <w:rPr>
          <w:rFonts w:cs="Times New Roman"/>
          <w:color w:val="000000"/>
          <w:sz w:val="24"/>
          <w:szCs w:val="24"/>
        </w:rPr>
        <w:t xml:space="preserve"> and insufficient action on the part of the National Highway Traffic Safety Administration (NHTSA) to develop performance standards for these technologies and require them in passenger and commercial vehicles, as well as a lack of incentives for manufacturers, has contributed to the ongoing and unacceptable frequency of rear-end crashes. </w:t>
      </w:r>
    </w:p>
    <w:p w14:paraId="6ACF701A" w14:textId="77777777" w:rsidR="00C51FD8" w:rsidRPr="00C51FD8" w:rsidRDefault="00C51FD8" w:rsidP="00C51FD8">
      <w:pPr>
        <w:autoSpaceDE w:val="0"/>
        <w:autoSpaceDN w:val="0"/>
        <w:adjustRightInd w:val="0"/>
        <w:spacing w:after="0" w:line="240" w:lineRule="auto"/>
        <w:rPr>
          <w:rFonts w:cs="Times New Roman"/>
          <w:color w:val="000000"/>
          <w:sz w:val="24"/>
          <w:szCs w:val="24"/>
        </w:rPr>
      </w:pPr>
    </w:p>
    <w:p w14:paraId="021291D4" w14:textId="4552CD19" w:rsidR="00C51FD8" w:rsidRDefault="00C51FD8" w:rsidP="00C51FD8">
      <w:pPr>
        <w:autoSpaceDE w:val="0"/>
        <w:autoSpaceDN w:val="0"/>
        <w:adjustRightInd w:val="0"/>
        <w:spacing w:after="0" w:line="240" w:lineRule="auto"/>
        <w:rPr>
          <w:rFonts w:cs="Times New Roman"/>
          <w:color w:val="000000"/>
          <w:sz w:val="24"/>
          <w:szCs w:val="24"/>
        </w:rPr>
      </w:pPr>
      <w:r w:rsidRPr="00C51FD8">
        <w:rPr>
          <w:rFonts w:cs="Times New Roman"/>
          <w:color w:val="000000"/>
          <w:sz w:val="24"/>
          <w:szCs w:val="24"/>
        </w:rPr>
        <w:t>The National Transportation Safety Board (NTSB) has an extensive history of investigating rear</w:t>
      </w:r>
      <w:r w:rsidR="00D72018">
        <w:rPr>
          <w:rFonts w:cs="Times New Roman"/>
          <w:color w:val="000000"/>
          <w:sz w:val="24"/>
          <w:szCs w:val="24"/>
        </w:rPr>
        <w:noBreakHyphen/>
      </w:r>
      <w:r w:rsidRPr="00C51FD8">
        <w:rPr>
          <w:rFonts w:cs="Times New Roman"/>
          <w:color w:val="000000"/>
          <w:sz w:val="24"/>
          <w:szCs w:val="24"/>
        </w:rPr>
        <w:t xml:space="preserve">end crashes and has encouraged technological countermeasures since 1995. To date, the NTSB has issued 12 recommendations pertaining to this safety issue. </w:t>
      </w:r>
    </w:p>
    <w:p w14:paraId="7FBF7FB4" w14:textId="77777777" w:rsidR="00C51FD8" w:rsidRPr="00C51FD8" w:rsidRDefault="00C51FD8" w:rsidP="00C51FD8">
      <w:pPr>
        <w:autoSpaceDE w:val="0"/>
        <w:autoSpaceDN w:val="0"/>
        <w:adjustRightInd w:val="0"/>
        <w:spacing w:after="0" w:line="240" w:lineRule="auto"/>
        <w:rPr>
          <w:rFonts w:cs="Times New Roman"/>
          <w:color w:val="000000"/>
          <w:sz w:val="24"/>
          <w:szCs w:val="24"/>
        </w:rPr>
      </w:pPr>
    </w:p>
    <w:p w14:paraId="3051FEB5" w14:textId="1493063C" w:rsidR="00304B26" w:rsidRDefault="00C51FD8" w:rsidP="00C51FD8">
      <w:pPr>
        <w:spacing w:after="0" w:line="240" w:lineRule="auto"/>
        <w:rPr>
          <w:rFonts w:ascii="Times New Roman" w:hAnsi="Times New Roman" w:cs="Times New Roman"/>
          <w:color w:val="000000"/>
          <w:sz w:val="23"/>
          <w:szCs w:val="23"/>
        </w:rPr>
      </w:pPr>
      <w:r w:rsidRPr="00C51FD8">
        <w:rPr>
          <w:rFonts w:cs="Times New Roman"/>
          <w:color w:val="000000"/>
          <w:sz w:val="24"/>
          <w:szCs w:val="24"/>
        </w:rPr>
        <w:t xml:space="preserve">In 2001, the NTSB released a </w:t>
      </w:r>
      <w:r w:rsidR="00750695" w:rsidRPr="00C51FD8">
        <w:rPr>
          <w:rFonts w:cs="Times New Roman"/>
          <w:color w:val="000000"/>
          <w:sz w:val="24"/>
          <w:szCs w:val="24"/>
        </w:rPr>
        <w:t xml:space="preserve">special investigation report </w:t>
      </w:r>
      <w:r w:rsidRPr="00C51FD8">
        <w:rPr>
          <w:rFonts w:cs="Times New Roman"/>
          <w:color w:val="000000"/>
          <w:sz w:val="24"/>
          <w:szCs w:val="24"/>
        </w:rPr>
        <w:t>on rear-end crashes that focused on technology as a potential countermeasure and made several recommendations to federal agencies and vehicle manufacturers (NTSB 2001). Due to a lack of progress in the implementation of NTSB recommendations intended to mitigate or prevent rear-end crashes, the recent technological advancements in collision</w:t>
      </w:r>
      <w:r w:rsidR="00FB5FD4">
        <w:rPr>
          <w:rFonts w:cs="Times New Roman"/>
          <w:color w:val="000000"/>
          <w:sz w:val="24"/>
          <w:szCs w:val="24"/>
        </w:rPr>
        <w:t>-</w:t>
      </w:r>
      <w:r w:rsidRPr="00C51FD8">
        <w:rPr>
          <w:rFonts w:cs="Times New Roman"/>
          <w:color w:val="000000"/>
          <w:sz w:val="24"/>
          <w:szCs w:val="24"/>
        </w:rPr>
        <w:t>avoidance technologies, and the continued prevalence of rear-end crashes, the NTSB is revisiting the topic of rear-end crash prevention.</w:t>
      </w:r>
      <w:r w:rsidRPr="00C51FD8">
        <w:rPr>
          <w:rFonts w:ascii="Times New Roman" w:hAnsi="Times New Roman" w:cs="Times New Roman"/>
          <w:color w:val="000000"/>
          <w:sz w:val="23"/>
          <w:szCs w:val="23"/>
        </w:rPr>
        <w:t xml:space="preserve"> </w:t>
      </w:r>
    </w:p>
    <w:p w14:paraId="60BC7074" w14:textId="77777777" w:rsidR="00304B26" w:rsidRPr="007C2743" w:rsidRDefault="00304B26" w:rsidP="00C51FD8">
      <w:pPr>
        <w:spacing w:after="0" w:line="240" w:lineRule="auto"/>
        <w:rPr>
          <w:rFonts w:ascii="Times New Roman" w:hAnsi="Times New Roman" w:cs="Times New Roman"/>
          <w:color w:val="000000"/>
          <w:sz w:val="24"/>
          <w:szCs w:val="24"/>
        </w:rPr>
      </w:pPr>
    </w:p>
    <w:p w14:paraId="6774234A" w14:textId="4C693003" w:rsidR="0009275F" w:rsidRPr="00031B19" w:rsidRDefault="00304B26" w:rsidP="00C51FD8">
      <w:pPr>
        <w:spacing w:after="0" w:line="240" w:lineRule="auto"/>
        <w:rPr>
          <w:rFonts w:cstheme="minorHAnsi"/>
          <w:b/>
          <w:bCs/>
          <w:sz w:val="24"/>
          <w:szCs w:val="24"/>
        </w:rPr>
      </w:pPr>
      <w:r w:rsidRPr="007C2743">
        <w:rPr>
          <w:sz w:val="24"/>
          <w:szCs w:val="24"/>
        </w:rPr>
        <w:t>This report describes the common causes of rear-end crashes, considers some of the latest potential solutions and countermeasures, reiterates and reclassifies previous recommendations, and issues new recommendations aimed at reducing the number and severity of such crashes.</w:t>
      </w:r>
      <w:r>
        <w:rPr>
          <w:sz w:val="23"/>
          <w:szCs w:val="23"/>
        </w:rPr>
        <w:t xml:space="preserve"> </w:t>
      </w:r>
    </w:p>
    <w:p w14:paraId="1AC11A63" w14:textId="77777777" w:rsidR="00DC5EFE" w:rsidRDefault="00DC5EFE" w:rsidP="0009275F">
      <w:pPr>
        <w:spacing w:after="0" w:line="240" w:lineRule="auto"/>
        <w:rPr>
          <w:rFonts w:cstheme="minorHAnsi"/>
          <w:b/>
          <w:bCs/>
          <w:sz w:val="24"/>
          <w:szCs w:val="24"/>
        </w:rPr>
      </w:pPr>
    </w:p>
    <w:p w14:paraId="77525255" w14:textId="62E7E8F6" w:rsidR="0009275F" w:rsidRPr="00A55473" w:rsidRDefault="005E2C0E" w:rsidP="0009275F">
      <w:pPr>
        <w:spacing w:after="0" w:line="240" w:lineRule="auto"/>
        <w:rPr>
          <w:rFonts w:cstheme="minorHAnsi"/>
          <w:sz w:val="24"/>
          <w:szCs w:val="24"/>
        </w:rPr>
      </w:pPr>
      <w:r>
        <w:rPr>
          <w:rFonts w:cstheme="minorHAnsi"/>
          <w:b/>
          <w:bCs/>
          <w:sz w:val="24"/>
          <w:szCs w:val="24"/>
        </w:rPr>
        <w:t>Findings</w:t>
      </w:r>
    </w:p>
    <w:p w14:paraId="2C2D7420" w14:textId="77777777" w:rsidR="0009275F" w:rsidRPr="00BF36E3" w:rsidRDefault="0009275F" w:rsidP="0009275F">
      <w:pPr>
        <w:spacing w:after="0" w:line="240" w:lineRule="auto"/>
        <w:rPr>
          <w:rFonts w:cstheme="minorHAnsi"/>
          <w:b/>
          <w:bCs/>
          <w:sz w:val="24"/>
          <w:szCs w:val="24"/>
        </w:rPr>
      </w:pPr>
    </w:p>
    <w:p w14:paraId="2AEA908E" w14:textId="6762F094" w:rsidR="00304B26" w:rsidRPr="000C0196" w:rsidRDefault="00304B26" w:rsidP="0009275F">
      <w:pPr>
        <w:spacing w:after="0" w:line="240" w:lineRule="auto"/>
        <w:rPr>
          <w:sz w:val="24"/>
          <w:szCs w:val="24"/>
        </w:rPr>
      </w:pPr>
      <w:r w:rsidRPr="000C0196">
        <w:rPr>
          <w:sz w:val="24"/>
          <w:szCs w:val="24"/>
        </w:rPr>
        <w:t xml:space="preserve">The NTSB’s investigation found that currently available </w:t>
      </w:r>
      <w:r w:rsidR="00EA16E3" w:rsidRPr="000C0196">
        <w:rPr>
          <w:sz w:val="24"/>
          <w:szCs w:val="24"/>
        </w:rPr>
        <w:t>forward</w:t>
      </w:r>
      <w:r w:rsidR="0005414A">
        <w:rPr>
          <w:sz w:val="24"/>
          <w:szCs w:val="24"/>
        </w:rPr>
        <w:t xml:space="preserve"> </w:t>
      </w:r>
      <w:r w:rsidRPr="000C0196">
        <w:rPr>
          <w:sz w:val="24"/>
          <w:szCs w:val="24"/>
        </w:rPr>
        <w:t xml:space="preserve">collision avoidance technologies for passenger and commercial vehicles still show clear benefits that could reduce rear-end crash fatalities. However, more must be done to speed up deployment of these technologies in all vehicle types. </w:t>
      </w:r>
      <w:r w:rsidR="00B60F21" w:rsidRPr="000C0196">
        <w:rPr>
          <w:sz w:val="24"/>
          <w:szCs w:val="24"/>
        </w:rPr>
        <w:t>Specifically, we found</w:t>
      </w:r>
      <w:r w:rsidR="0015516F">
        <w:rPr>
          <w:sz w:val="24"/>
          <w:szCs w:val="24"/>
        </w:rPr>
        <w:t xml:space="preserve"> the following</w:t>
      </w:r>
      <w:r w:rsidR="00B60F21" w:rsidRPr="000C0196">
        <w:rPr>
          <w:sz w:val="24"/>
          <w:szCs w:val="24"/>
        </w:rPr>
        <w:t xml:space="preserve">: </w:t>
      </w:r>
    </w:p>
    <w:p w14:paraId="2585262A" w14:textId="0015E5EA" w:rsidR="00B60F21" w:rsidRDefault="00B60F21" w:rsidP="0009275F">
      <w:pPr>
        <w:spacing w:after="0" w:line="240" w:lineRule="auto"/>
        <w:rPr>
          <w:sz w:val="23"/>
          <w:szCs w:val="23"/>
        </w:rPr>
      </w:pPr>
    </w:p>
    <w:p w14:paraId="2085E4E7" w14:textId="59B4543A" w:rsidR="00B60F21" w:rsidRPr="00B60F21" w:rsidRDefault="00B60F21" w:rsidP="00B60F21">
      <w:pPr>
        <w:pStyle w:val="ListParagraph"/>
        <w:numPr>
          <w:ilvl w:val="0"/>
          <w:numId w:val="20"/>
        </w:numPr>
        <w:autoSpaceDE w:val="0"/>
        <w:autoSpaceDN w:val="0"/>
        <w:adjustRightInd w:val="0"/>
        <w:spacing w:after="0" w:line="240" w:lineRule="auto"/>
        <w:rPr>
          <w:rFonts w:cs="Times New Roman"/>
          <w:color w:val="000000"/>
          <w:sz w:val="24"/>
          <w:szCs w:val="24"/>
        </w:rPr>
      </w:pPr>
      <w:r w:rsidRPr="00B60F21">
        <w:rPr>
          <w:rFonts w:cs="Times New Roman"/>
          <w:color w:val="000000"/>
          <w:sz w:val="24"/>
          <w:szCs w:val="24"/>
        </w:rPr>
        <w:t xml:space="preserve">The slow development of performance standards and the lack of regulatory action have delayed deployment of </w:t>
      </w:r>
      <w:r w:rsidR="00B92E54" w:rsidRPr="00B60F21">
        <w:rPr>
          <w:rFonts w:cs="Times New Roman"/>
          <w:color w:val="000000"/>
          <w:sz w:val="24"/>
          <w:szCs w:val="24"/>
        </w:rPr>
        <w:t>collision</w:t>
      </w:r>
      <w:r w:rsidR="00B92E54">
        <w:rPr>
          <w:rFonts w:cs="Times New Roman"/>
          <w:color w:val="000000"/>
          <w:sz w:val="24"/>
          <w:szCs w:val="24"/>
        </w:rPr>
        <w:t>-</w:t>
      </w:r>
      <w:r w:rsidRPr="00B60F21">
        <w:rPr>
          <w:rFonts w:cs="Times New Roman"/>
          <w:color w:val="000000"/>
          <w:sz w:val="24"/>
          <w:szCs w:val="24"/>
        </w:rPr>
        <w:t xml:space="preserve">avoidance technologies that could prevent or mitigate rear-end crashes. </w:t>
      </w:r>
    </w:p>
    <w:p w14:paraId="4BAB3461" w14:textId="76101593" w:rsidR="00B60F21" w:rsidRPr="00B60F21" w:rsidRDefault="00B83713" w:rsidP="00B60F21">
      <w:pPr>
        <w:pStyle w:val="ListParagraph"/>
        <w:numPr>
          <w:ilvl w:val="0"/>
          <w:numId w:val="20"/>
        </w:numPr>
        <w:autoSpaceDE w:val="0"/>
        <w:autoSpaceDN w:val="0"/>
        <w:adjustRightInd w:val="0"/>
        <w:spacing w:after="0" w:line="240" w:lineRule="auto"/>
        <w:rPr>
          <w:rFonts w:cs="Times New Roman"/>
          <w:color w:val="000000"/>
          <w:sz w:val="24"/>
          <w:szCs w:val="24"/>
        </w:rPr>
      </w:pPr>
      <w:r>
        <w:rPr>
          <w:rFonts w:cs="Times New Roman"/>
          <w:color w:val="000000"/>
          <w:sz w:val="24"/>
          <w:szCs w:val="24"/>
        </w:rPr>
        <w:t>Although</w:t>
      </w:r>
      <w:r w:rsidRPr="00B60F21">
        <w:rPr>
          <w:rFonts w:cs="Times New Roman"/>
          <w:color w:val="000000"/>
          <w:sz w:val="24"/>
          <w:szCs w:val="24"/>
        </w:rPr>
        <w:t xml:space="preserve"> </w:t>
      </w:r>
      <w:r w:rsidR="00B60F21" w:rsidRPr="00B60F21">
        <w:rPr>
          <w:rFonts w:cs="Times New Roman"/>
          <w:color w:val="000000"/>
          <w:sz w:val="24"/>
          <w:szCs w:val="24"/>
        </w:rPr>
        <w:t xml:space="preserve">focusing research on how forward collision avoidance systems can prevent rear-end crashes is important, mitigating a crash is similarly important. </w:t>
      </w:r>
    </w:p>
    <w:p w14:paraId="02054B81" w14:textId="1E9554CD" w:rsidR="00B60F21" w:rsidRPr="00B60F21" w:rsidRDefault="00B60F21" w:rsidP="00B60F21">
      <w:pPr>
        <w:pStyle w:val="ListParagraph"/>
        <w:numPr>
          <w:ilvl w:val="0"/>
          <w:numId w:val="20"/>
        </w:numPr>
        <w:autoSpaceDE w:val="0"/>
        <w:autoSpaceDN w:val="0"/>
        <w:adjustRightInd w:val="0"/>
        <w:spacing w:after="0" w:line="240" w:lineRule="auto"/>
        <w:rPr>
          <w:rFonts w:cs="Times New Roman"/>
          <w:color w:val="000000"/>
          <w:sz w:val="24"/>
          <w:szCs w:val="24"/>
        </w:rPr>
      </w:pPr>
      <w:r w:rsidRPr="00B60F21">
        <w:rPr>
          <w:rFonts w:cs="Times New Roman"/>
          <w:color w:val="000000"/>
          <w:sz w:val="24"/>
          <w:szCs w:val="24"/>
        </w:rPr>
        <w:t xml:space="preserve">A collision warning system, particularly when paired with active braking, such as dynamic brake support and autonomous emergency braking, could significantly reduce the frequency and severity of rear-end crashes. </w:t>
      </w:r>
    </w:p>
    <w:p w14:paraId="202E344F" w14:textId="6218A6CE" w:rsidR="00B60F21" w:rsidRPr="00B60F21" w:rsidRDefault="00B60F21" w:rsidP="00B60F21">
      <w:pPr>
        <w:pStyle w:val="ListParagraph"/>
        <w:numPr>
          <w:ilvl w:val="0"/>
          <w:numId w:val="20"/>
        </w:numPr>
        <w:autoSpaceDE w:val="0"/>
        <w:autoSpaceDN w:val="0"/>
        <w:adjustRightInd w:val="0"/>
        <w:spacing w:after="0" w:line="240" w:lineRule="auto"/>
        <w:rPr>
          <w:rFonts w:cs="Times New Roman"/>
          <w:color w:val="000000"/>
          <w:sz w:val="24"/>
          <w:szCs w:val="24"/>
        </w:rPr>
      </w:pPr>
      <w:r w:rsidRPr="00B60F21">
        <w:rPr>
          <w:rFonts w:cs="Times New Roman"/>
          <w:color w:val="000000"/>
          <w:sz w:val="24"/>
          <w:szCs w:val="24"/>
        </w:rPr>
        <w:t xml:space="preserve">The full benefits of autonomous emergency braking </w:t>
      </w:r>
      <w:r w:rsidR="0060536A">
        <w:rPr>
          <w:rFonts w:cs="Times New Roman"/>
          <w:color w:val="000000"/>
          <w:sz w:val="24"/>
          <w:szCs w:val="24"/>
        </w:rPr>
        <w:t>in</w:t>
      </w:r>
      <w:r w:rsidR="0060536A" w:rsidRPr="00B60F21">
        <w:rPr>
          <w:rFonts w:cs="Times New Roman"/>
          <w:color w:val="000000"/>
          <w:sz w:val="24"/>
          <w:szCs w:val="24"/>
        </w:rPr>
        <w:t xml:space="preserve"> </w:t>
      </w:r>
      <w:r w:rsidRPr="00B60F21">
        <w:rPr>
          <w:rFonts w:cs="Times New Roman"/>
          <w:color w:val="000000"/>
          <w:sz w:val="24"/>
          <w:szCs w:val="24"/>
        </w:rPr>
        <w:t xml:space="preserve">commercial vehicles can be achieved only when such a braking system is installed on vehicles also equipped with electronic stability control. </w:t>
      </w:r>
    </w:p>
    <w:p w14:paraId="27998721" w14:textId="0BB95012" w:rsidR="00B60F21" w:rsidRPr="00B60F21" w:rsidRDefault="00B60F21" w:rsidP="00B60F21">
      <w:pPr>
        <w:pStyle w:val="ListParagraph"/>
        <w:numPr>
          <w:ilvl w:val="0"/>
          <w:numId w:val="20"/>
        </w:numPr>
        <w:autoSpaceDE w:val="0"/>
        <w:autoSpaceDN w:val="0"/>
        <w:adjustRightInd w:val="0"/>
        <w:spacing w:after="0" w:line="240" w:lineRule="auto"/>
        <w:rPr>
          <w:rFonts w:cs="Times New Roman"/>
          <w:color w:val="000000"/>
          <w:sz w:val="24"/>
          <w:szCs w:val="24"/>
        </w:rPr>
      </w:pPr>
      <w:r w:rsidRPr="00B60F21">
        <w:rPr>
          <w:rFonts w:cs="Times New Roman"/>
          <w:color w:val="000000"/>
          <w:sz w:val="24"/>
          <w:szCs w:val="24"/>
        </w:rPr>
        <w:t xml:space="preserve">The National Highway Traffic Safety Administration’s existing testing scenarios and protocols for </w:t>
      </w:r>
      <w:r w:rsidR="003033AF">
        <w:rPr>
          <w:rFonts w:cs="Times New Roman"/>
          <w:color w:val="000000"/>
          <w:sz w:val="24"/>
          <w:szCs w:val="24"/>
        </w:rPr>
        <w:t>assessing</w:t>
      </w:r>
      <w:r w:rsidRPr="00B60F21">
        <w:rPr>
          <w:rFonts w:cs="Times New Roman"/>
          <w:color w:val="000000"/>
          <w:sz w:val="24"/>
          <w:szCs w:val="24"/>
        </w:rPr>
        <w:t xml:space="preserve"> forward collision avoidance systems in passenger vehicles do not adequately represent the wide range of velocity conditions seen in crashes, particularly high-speed crashes. </w:t>
      </w:r>
    </w:p>
    <w:p w14:paraId="47E1D1F5" w14:textId="6F647196" w:rsidR="00B60F21" w:rsidRPr="00B60F21" w:rsidRDefault="00B60F21" w:rsidP="00B60F21">
      <w:pPr>
        <w:pStyle w:val="ListParagraph"/>
        <w:numPr>
          <w:ilvl w:val="0"/>
          <w:numId w:val="20"/>
        </w:numPr>
        <w:autoSpaceDE w:val="0"/>
        <w:autoSpaceDN w:val="0"/>
        <w:adjustRightInd w:val="0"/>
        <w:spacing w:after="0" w:line="240" w:lineRule="auto"/>
        <w:rPr>
          <w:rFonts w:cs="Times New Roman"/>
          <w:color w:val="000000"/>
          <w:sz w:val="24"/>
          <w:szCs w:val="24"/>
        </w:rPr>
      </w:pPr>
      <w:r w:rsidRPr="00B60F21">
        <w:rPr>
          <w:rFonts w:cs="Times New Roman"/>
          <w:color w:val="000000"/>
          <w:sz w:val="24"/>
          <w:szCs w:val="24"/>
        </w:rPr>
        <w:t xml:space="preserve">Performance standards and protocols for </w:t>
      </w:r>
      <w:r w:rsidR="00090C96">
        <w:rPr>
          <w:rFonts w:cs="Times New Roman"/>
          <w:color w:val="000000"/>
          <w:sz w:val="24"/>
          <w:szCs w:val="24"/>
        </w:rPr>
        <w:t>assessing</w:t>
      </w:r>
      <w:r w:rsidRPr="00B60F21">
        <w:rPr>
          <w:rFonts w:cs="Times New Roman"/>
          <w:color w:val="000000"/>
          <w:sz w:val="24"/>
          <w:szCs w:val="24"/>
        </w:rPr>
        <w:t xml:space="preserve"> forward collision avoidance systems in commercial vehicles would provide an impetus for </w:t>
      </w:r>
      <w:r w:rsidR="00754178">
        <w:rPr>
          <w:rFonts w:cs="Times New Roman"/>
          <w:color w:val="000000"/>
          <w:sz w:val="24"/>
          <w:szCs w:val="24"/>
        </w:rPr>
        <w:t>advancing</w:t>
      </w:r>
      <w:r w:rsidRPr="00B60F21">
        <w:rPr>
          <w:rFonts w:cs="Times New Roman"/>
          <w:color w:val="000000"/>
          <w:sz w:val="24"/>
          <w:szCs w:val="24"/>
        </w:rPr>
        <w:t xml:space="preserve"> the systems and speed their deployment in commercial fleets. </w:t>
      </w:r>
    </w:p>
    <w:p w14:paraId="3D407D18" w14:textId="0908DED3" w:rsidR="00B60F21" w:rsidRPr="00B60F21" w:rsidRDefault="00B60F21" w:rsidP="00B60F21">
      <w:pPr>
        <w:pStyle w:val="ListParagraph"/>
        <w:numPr>
          <w:ilvl w:val="0"/>
          <w:numId w:val="20"/>
        </w:numPr>
        <w:autoSpaceDE w:val="0"/>
        <w:autoSpaceDN w:val="0"/>
        <w:adjustRightInd w:val="0"/>
        <w:spacing w:after="0" w:line="240" w:lineRule="auto"/>
        <w:rPr>
          <w:rFonts w:cs="Times New Roman"/>
          <w:color w:val="000000"/>
          <w:sz w:val="24"/>
          <w:szCs w:val="24"/>
        </w:rPr>
      </w:pPr>
      <w:r w:rsidRPr="00B60F21">
        <w:rPr>
          <w:rFonts w:cs="Times New Roman"/>
          <w:color w:val="000000"/>
          <w:sz w:val="24"/>
          <w:szCs w:val="24"/>
        </w:rPr>
        <w:t xml:space="preserve">Broad deployment of forward collision avoidance systems into passenger vehicles, motorcoaches, single-unit trucks, and truck-tractors would considerably reduce the frequency and severity of rear-end crashes. </w:t>
      </w:r>
    </w:p>
    <w:p w14:paraId="6E0BDA6E" w14:textId="7B66721D" w:rsidR="00B60F21" w:rsidRPr="00B60F21" w:rsidRDefault="00464D2A" w:rsidP="00B60F21">
      <w:pPr>
        <w:pStyle w:val="ListParagraph"/>
        <w:numPr>
          <w:ilvl w:val="0"/>
          <w:numId w:val="20"/>
        </w:numPr>
        <w:autoSpaceDE w:val="0"/>
        <w:autoSpaceDN w:val="0"/>
        <w:adjustRightInd w:val="0"/>
        <w:spacing w:after="0" w:line="240" w:lineRule="auto"/>
        <w:rPr>
          <w:rFonts w:cs="Times New Roman"/>
          <w:color w:val="000000"/>
          <w:sz w:val="24"/>
          <w:szCs w:val="24"/>
        </w:rPr>
      </w:pPr>
      <w:r>
        <w:rPr>
          <w:rFonts w:cs="Times New Roman"/>
          <w:color w:val="000000"/>
          <w:sz w:val="24"/>
          <w:szCs w:val="24"/>
        </w:rPr>
        <w:t>Incorporating</w:t>
      </w:r>
      <w:r w:rsidR="00B60F21" w:rsidRPr="00B60F21">
        <w:rPr>
          <w:rFonts w:cs="Times New Roman"/>
          <w:color w:val="000000"/>
          <w:sz w:val="24"/>
          <w:szCs w:val="24"/>
        </w:rPr>
        <w:t xml:space="preserve"> forward collision avoidance system technologies into the 5-star New Car Assessment Program rating in the United States would provide an incentive to consumers to purchase vehicles with such systems and would likely encourage passenger vehicle manufacturers to include these systems in their vehicles as standard features. </w:t>
      </w:r>
    </w:p>
    <w:p w14:paraId="57C7B08F" w14:textId="400D0EB0" w:rsidR="00B60F21" w:rsidRPr="00B60F21" w:rsidRDefault="00B60F21" w:rsidP="00B60F21">
      <w:pPr>
        <w:pStyle w:val="ListParagraph"/>
        <w:numPr>
          <w:ilvl w:val="0"/>
          <w:numId w:val="20"/>
        </w:numPr>
        <w:autoSpaceDE w:val="0"/>
        <w:autoSpaceDN w:val="0"/>
        <w:adjustRightInd w:val="0"/>
        <w:spacing w:after="0" w:line="240" w:lineRule="auto"/>
        <w:rPr>
          <w:rFonts w:cs="Times New Roman"/>
          <w:color w:val="000000"/>
          <w:sz w:val="24"/>
          <w:szCs w:val="24"/>
        </w:rPr>
      </w:pPr>
      <w:r w:rsidRPr="00B60F21">
        <w:rPr>
          <w:rFonts w:cs="Times New Roman"/>
          <w:color w:val="000000"/>
          <w:sz w:val="24"/>
          <w:szCs w:val="24"/>
        </w:rPr>
        <w:t xml:space="preserve">A graded rating that compares the performance of forward collision avoidance systems across vehicle models would help consumers differentiate the effectiveness of the available systems. </w:t>
      </w:r>
    </w:p>
    <w:p w14:paraId="6321EE83" w14:textId="421EC6B5" w:rsidR="00B60F21" w:rsidRPr="005E2C0E" w:rsidRDefault="00B60F21" w:rsidP="00B60F21">
      <w:pPr>
        <w:pStyle w:val="ListParagraph"/>
        <w:numPr>
          <w:ilvl w:val="0"/>
          <w:numId w:val="20"/>
        </w:numPr>
        <w:spacing w:after="0" w:line="240" w:lineRule="auto"/>
        <w:rPr>
          <w:sz w:val="24"/>
          <w:szCs w:val="24"/>
        </w:rPr>
      </w:pPr>
      <w:r w:rsidRPr="00B60F21">
        <w:rPr>
          <w:rFonts w:cs="Times New Roman"/>
          <w:color w:val="000000"/>
          <w:sz w:val="24"/>
          <w:szCs w:val="24"/>
        </w:rPr>
        <w:t>New vehicles equipped with vehicle-based forward collision avoidance systems would obtain immediate safety benefits and be poised to assume future integration with connected-vehicle technology, which offers an even broader spectrum of safety coverage for drivers.</w:t>
      </w:r>
    </w:p>
    <w:p w14:paraId="31B9F070" w14:textId="373D8864" w:rsidR="005E2C0E" w:rsidRPr="005E2C0E" w:rsidRDefault="00EA5A1C" w:rsidP="005E2C0E">
      <w:pPr>
        <w:spacing w:after="0" w:line="240" w:lineRule="auto"/>
        <w:ind w:left="360"/>
        <w:rPr>
          <w:sz w:val="24"/>
          <w:szCs w:val="24"/>
        </w:rPr>
      </w:pPr>
      <w:r>
        <w:rPr>
          <w:rFonts w:cstheme="minorHAnsi"/>
          <w:noProof/>
        </w:rPr>
        <w:pict w14:anchorId="4EA62F41">
          <v:rect id="_x0000_i1026" alt="" style="width:450.2pt;height:.05pt;mso-width-percent:0;mso-height-percent:0;mso-width-percent:0;mso-height-percent:0" o:hrpct="962" o:hralign="center" o:hrstd="t" o:hr="t" fillcolor="#a0a0a0" stroked="f"/>
        </w:pict>
      </w:r>
    </w:p>
    <w:p w14:paraId="1C9E87AE" w14:textId="29DD6030" w:rsidR="0009275F" w:rsidRDefault="0009275F" w:rsidP="5E886CDA">
      <w:pPr>
        <w:spacing w:after="0" w:line="240" w:lineRule="auto"/>
        <w:rPr>
          <w:sz w:val="23"/>
          <w:szCs w:val="23"/>
        </w:rPr>
      </w:pPr>
    </w:p>
    <w:p w14:paraId="35D6F3E0" w14:textId="269E292E" w:rsidR="00542699" w:rsidRDefault="00542699" w:rsidP="00B25AF6">
      <w:pPr>
        <w:spacing w:after="0" w:line="240" w:lineRule="auto"/>
        <w:rPr>
          <w:rFonts w:cstheme="minorHAnsi"/>
          <w:b/>
          <w:bCs/>
          <w:sz w:val="24"/>
          <w:szCs w:val="24"/>
        </w:rPr>
      </w:pPr>
      <w:r>
        <w:rPr>
          <w:rFonts w:cstheme="minorHAnsi"/>
          <w:b/>
          <w:bCs/>
          <w:sz w:val="24"/>
          <w:szCs w:val="24"/>
        </w:rPr>
        <w:br w:type="page"/>
      </w:r>
    </w:p>
    <w:p w14:paraId="1A982F32" w14:textId="6E0D065B" w:rsidR="00F462D6" w:rsidRDefault="00EA5A1C" w:rsidP="00B25AF6">
      <w:pPr>
        <w:autoSpaceDE w:val="0"/>
        <w:autoSpaceDN w:val="0"/>
        <w:adjustRightInd w:val="0"/>
        <w:spacing w:after="0" w:line="240" w:lineRule="auto"/>
        <w:rPr>
          <w:rFonts w:eastAsia="Calibri" w:cstheme="minorHAnsi"/>
          <w:sz w:val="24"/>
          <w:szCs w:val="24"/>
          <w:shd w:val="clear" w:color="auto" w:fill="FFFFFF"/>
        </w:rPr>
      </w:pPr>
      <w:r>
        <w:rPr>
          <w:rFonts w:cstheme="minorHAnsi"/>
          <w:noProof/>
        </w:rPr>
        <w:lastRenderedPageBreak/>
        <w:pict w14:anchorId="04B9B132">
          <v:rect id="_x0000_i1027" alt="" style="width:468pt;height:.05pt;mso-width-percent:0;mso-height-percent:0;mso-width-percent:0;mso-height-percent:0" o:hralign="center" o:hrstd="t" o:hr="t" fillcolor="#a0a0a0" stroked="f"/>
        </w:pict>
      </w:r>
    </w:p>
    <w:p w14:paraId="756C4B27" w14:textId="4A11B64A" w:rsidR="008A65B0" w:rsidRPr="00A90EFD" w:rsidRDefault="005C2837" w:rsidP="005E2C0E">
      <w:pPr>
        <w:autoSpaceDE w:val="0"/>
        <w:autoSpaceDN w:val="0"/>
        <w:adjustRightInd w:val="0"/>
        <w:spacing w:after="0" w:line="240" w:lineRule="auto"/>
        <w:rPr>
          <w:rFonts w:eastAsia="Calibri"/>
          <w:sz w:val="28"/>
          <w:szCs w:val="28"/>
          <w:shd w:val="clear" w:color="auto" w:fill="FFFFFF"/>
        </w:rPr>
      </w:pPr>
      <w:r w:rsidRPr="00A90EFD">
        <w:rPr>
          <w:rFonts w:eastAsia="Calibri"/>
          <w:sz w:val="28"/>
          <w:szCs w:val="28"/>
          <w:shd w:val="clear" w:color="auto" w:fill="FFFFFF"/>
        </w:rPr>
        <w:t xml:space="preserve">Motorcoach Collision </w:t>
      </w:r>
      <w:r w:rsidR="00CD2300" w:rsidRPr="00A90EFD">
        <w:rPr>
          <w:rFonts w:eastAsia="Calibri"/>
          <w:sz w:val="28"/>
          <w:szCs w:val="28"/>
          <w:shd w:val="clear" w:color="auto" w:fill="FFFFFF"/>
        </w:rPr>
        <w:t xml:space="preserve">with </w:t>
      </w:r>
      <w:r w:rsidRPr="00A90EFD">
        <w:rPr>
          <w:rFonts w:eastAsia="Calibri"/>
          <w:sz w:val="28"/>
          <w:szCs w:val="28"/>
          <w:shd w:val="clear" w:color="auto" w:fill="FFFFFF"/>
        </w:rPr>
        <w:t xml:space="preserve">Combination Vehicle After Traffic Break on </w:t>
      </w:r>
      <w:r w:rsidR="00F6034D" w:rsidRPr="00A90EFD">
        <w:rPr>
          <w:rFonts w:eastAsia="Calibri"/>
          <w:sz w:val="28"/>
          <w:szCs w:val="28"/>
          <w:shd w:val="clear" w:color="auto" w:fill="FFFFFF"/>
        </w:rPr>
        <w:t>Interstate </w:t>
      </w:r>
      <w:r w:rsidRPr="00A90EFD">
        <w:rPr>
          <w:rFonts w:eastAsia="Calibri"/>
          <w:sz w:val="28"/>
          <w:szCs w:val="28"/>
          <w:shd w:val="clear" w:color="auto" w:fill="FFFFFF"/>
        </w:rPr>
        <w:t>10</w:t>
      </w:r>
    </w:p>
    <w:p w14:paraId="1FCECCA5" w14:textId="568C0A7B" w:rsidR="00B37659" w:rsidRPr="005E2C0E" w:rsidRDefault="005C2837" w:rsidP="00B25AF6">
      <w:pPr>
        <w:autoSpaceDE w:val="0"/>
        <w:autoSpaceDN w:val="0"/>
        <w:adjustRightInd w:val="0"/>
        <w:spacing w:after="0" w:line="240" w:lineRule="auto"/>
        <w:rPr>
          <w:rFonts w:eastAsia="Calibri"/>
          <w:sz w:val="24"/>
          <w:szCs w:val="24"/>
          <w:shd w:val="clear" w:color="auto" w:fill="FFFFFF"/>
        </w:rPr>
      </w:pPr>
      <w:r w:rsidRPr="005E2C0E">
        <w:rPr>
          <w:rFonts w:eastAsia="Calibri"/>
          <w:sz w:val="24"/>
          <w:szCs w:val="24"/>
          <w:shd w:val="clear" w:color="auto" w:fill="FFFFFF"/>
        </w:rPr>
        <w:t xml:space="preserve">Palm Springs, California </w:t>
      </w:r>
    </w:p>
    <w:p w14:paraId="557AFF80" w14:textId="0C6D6EAB" w:rsidR="008A65B0" w:rsidRPr="005E2C0E" w:rsidRDefault="008A65B0" w:rsidP="00B25AF6">
      <w:pPr>
        <w:autoSpaceDE w:val="0"/>
        <w:autoSpaceDN w:val="0"/>
        <w:adjustRightInd w:val="0"/>
        <w:spacing w:after="0" w:line="240" w:lineRule="auto"/>
        <w:rPr>
          <w:rFonts w:eastAsia="Calibri"/>
          <w:sz w:val="24"/>
          <w:szCs w:val="24"/>
          <w:shd w:val="clear" w:color="auto" w:fill="FFFFFF"/>
        </w:rPr>
      </w:pPr>
      <w:r w:rsidRPr="005E2C0E">
        <w:rPr>
          <w:rFonts w:eastAsia="Calibri"/>
          <w:sz w:val="24"/>
          <w:szCs w:val="24"/>
          <w:shd w:val="clear" w:color="auto" w:fill="FFFFFF"/>
        </w:rPr>
        <w:t>October 23, 2016</w:t>
      </w:r>
    </w:p>
    <w:p w14:paraId="6347783A" w14:textId="77777777" w:rsidR="00B37659" w:rsidRPr="00031B19" w:rsidRDefault="00B37659" w:rsidP="00B25AF6">
      <w:pPr>
        <w:autoSpaceDE w:val="0"/>
        <w:autoSpaceDN w:val="0"/>
        <w:adjustRightInd w:val="0"/>
        <w:spacing w:after="0" w:line="240" w:lineRule="auto"/>
        <w:rPr>
          <w:rFonts w:eastAsia="Calibri" w:cstheme="minorHAnsi"/>
          <w:sz w:val="24"/>
          <w:szCs w:val="24"/>
          <w:shd w:val="clear" w:color="auto" w:fill="FFFFFF"/>
        </w:rPr>
      </w:pPr>
    </w:p>
    <w:p w14:paraId="77FA660C" w14:textId="248B128C" w:rsidR="00B37659" w:rsidRPr="00031B19" w:rsidRDefault="00F95BFD" w:rsidP="00B25AF6">
      <w:pPr>
        <w:autoSpaceDE w:val="0"/>
        <w:autoSpaceDN w:val="0"/>
        <w:adjustRightInd w:val="0"/>
        <w:spacing w:after="0" w:line="240" w:lineRule="auto"/>
        <w:rPr>
          <w:rFonts w:eastAsia="Calibri" w:cstheme="minorHAnsi"/>
          <w:color w:val="0000FF"/>
          <w:sz w:val="24"/>
          <w:szCs w:val="24"/>
          <w:u w:val="single"/>
          <w:shd w:val="clear" w:color="auto" w:fill="FFFFFF"/>
        </w:rPr>
      </w:pPr>
      <w:bookmarkStart w:id="0" w:name="_Hlk63329168"/>
      <w:r>
        <w:rPr>
          <w:rFonts w:cstheme="minorHAnsi"/>
        </w:rPr>
        <w:t xml:space="preserve">This is an excerpt from the full investigative report. </w:t>
      </w:r>
      <w:r w:rsidRPr="00824FA2">
        <w:rPr>
          <w:rFonts w:cstheme="minorHAnsi"/>
          <w:b/>
          <w:bCs/>
        </w:rPr>
        <w:t>This information does not include all the safety issues, findings</w:t>
      </w:r>
      <w:r w:rsidR="00C072A7">
        <w:rPr>
          <w:rFonts w:cstheme="minorHAnsi"/>
          <w:b/>
          <w:bCs/>
        </w:rPr>
        <w:t>,</w:t>
      </w:r>
      <w:r w:rsidRPr="00824FA2">
        <w:rPr>
          <w:rFonts w:cstheme="minorHAnsi"/>
          <w:b/>
          <w:bCs/>
        </w:rPr>
        <w:t xml:space="preserve"> and recommendations issued in the report, but instead focuses on </w:t>
      </w:r>
      <w:r w:rsidR="00C072A7">
        <w:rPr>
          <w:rFonts w:cstheme="minorHAnsi"/>
          <w:b/>
          <w:bCs/>
        </w:rPr>
        <w:t>those that are</w:t>
      </w:r>
      <w:r w:rsidRPr="00824FA2">
        <w:rPr>
          <w:rFonts w:cstheme="minorHAnsi"/>
          <w:b/>
          <w:bCs/>
        </w:rPr>
        <w:t xml:space="preserve"> directly related to the safety item</w:t>
      </w:r>
      <w:r w:rsidRPr="002D6ABD">
        <w:rPr>
          <w:rFonts w:cstheme="minorHAnsi"/>
        </w:rPr>
        <w:t>.</w:t>
      </w:r>
      <w:r>
        <w:rPr>
          <w:rFonts w:cstheme="minorHAnsi"/>
        </w:rPr>
        <w:t xml:space="preserve"> </w:t>
      </w:r>
      <w:r w:rsidR="00EA31BD">
        <w:rPr>
          <w:rFonts w:cstheme="minorHAnsi"/>
        </w:rPr>
        <w:t>Read the complete</w:t>
      </w:r>
      <w:r>
        <w:rPr>
          <w:rFonts w:cstheme="minorHAnsi"/>
        </w:rPr>
        <w:t xml:space="preserve"> report</w:t>
      </w:r>
      <w:bookmarkEnd w:id="0"/>
      <w:r>
        <w:rPr>
          <w:rFonts w:cstheme="minorHAnsi"/>
        </w:rPr>
        <w:t xml:space="preserve"> </w:t>
      </w:r>
      <w:hyperlink r:id="rId12" w:history="1">
        <w:r w:rsidR="005C2837">
          <w:rPr>
            <w:rStyle w:val="Hyperlink"/>
            <w:rFonts w:cstheme="minorHAnsi"/>
            <w:sz w:val="24"/>
            <w:szCs w:val="24"/>
          </w:rPr>
          <w:t>https://www.ntsb.gov/investigations/AccidentReports/Reports/HAR1704.pdf</w:t>
        </w:r>
      </w:hyperlink>
    </w:p>
    <w:p w14:paraId="708DB2F2" w14:textId="043B3280" w:rsidR="00B25AF6" w:rsidRPr="00031B19" w:rsidRDefault="00B25AF6" w:rsidP="00B25AF6">
      <w:pPr>
        <w:spacing w:after="0" w:line="240" w:lineRule="auto"/>
        <w:rPr>
          <w:rFonts w:cstheme="minorHAnsi"/>
          <w:b/>
          <w:bCs/>
          <w:sz w:val="24"/>
          <w:szCs w:val="24"/>
        </w:rPr>
      </w:pPr>
    </w:p>
    <w:p w14:paraId="3DF280BC" w14:textId="37506BAA" w:rsidR="00B37659" w:rsidRDefault="005E2C0E" w:rsidP="00B25AF6">
      <w:pPr>
        <w:spacing w:after="0" w:line="240" w:lineRule="auto"/>
        <w:rPr>
          <w:rFonts w:cstheme="minorHAnsi"/>
          <w:b/>
          <w:bCs/>
          <w:sz w:val="24"/>
          <w:szCs w:val="24"/>
        </w:rPr>
      </w:pPr>
      <w:r w:rsidRPr="00031B19">
        <w:rPr>
          <w:rFonts w:cstheme="minorHAnsi"/>
          <w:b/>
          <w:bCs/>
          <w:sz w:val="24"/>
          <w:szCs w:val="24"/>
        </w:rPr>
        <w:t>What Happened</w:t>
      </w:r>
    </w:p>
    <w:p w14:paraId="233F19B9" w14:textId="77777777" w:rsidR="005E2C0E" w:rsidRPr="00031B19" w:rsidRDefault="005E2C0E" w:rsidP="00B25AF6">
      <w:pPr>
        <w:spacing w:after="0" w:line="240" w:lineRule="auto"/>
        <w:rPr>
          <w:rFonts w:cstheme="minorHAnsi"/>
          <w:b/>
          <w:bCs/>
          <w:sz w:val="24"/>
          <w:szCs w:val="24"/>
        </w:rPr>
      </w:pPr>
    </w:p>
    <w:p w14:paraId="049B1307" w14:textId="1B127A61" w:rsidR="005E11FF" w:rsidRPr="005E11FF" w:rsidRDefault="005E11FF" w:rsidP="005E11FF">
      <w:pPr>
        <w:shd w:val="clear" w:color="auto" w:fill="FFFFFF"/>
        <w:spacing w:line="240" w:lineRule="auto"/>
        <w:rPr>
          <w:rFonts w:cs="Segoe UI"/>
          <w:sz w:val="24"/>
          <w:szCs w:val="24"/>
        </w:rPr>
      </w:pPr>
      <w:r w:rsidRPr="005E11FF">
        <w:rPr>
          <w:rFonts w:cs="Segoe UI"/>
          <w:sz w:val="24"/>
          <w:szCs w:val="24"/>
        </w:rPr>
        <w:t>On October 23, 2016, a motorcoach ran into the rear of a stopped combination vehicle near mile marker 32.5 in the westbound lanes of Interstate 10 (I-10), outside Palm Springs, California.</w:t>
      </w:r>
    </w:p>
    <w:p w14:paraId="1A46AC42" w14:textId="24802B2F" w:rsidR="005C2837" w:rsidRPr="005E11FF" w:rsidRDefault="00D90EEB" w:rsidP="005E11FF">
      <w:pPr>
        <w:shd w:val="clear" w:color="auto" w:fill="FFFFFF"/>
        <w:spacing w:line="240" w:lineRule="auto"/>
        <w:rPr>
          <w:rFonts w:cs="Segoe UI"/>
          <w:sz w:val="24"/>
          <w:szCs w:val="24"/>
        </w:rPr>
      </w:pPr>
      <w:r>
        <w:rPr>
          <w:rFonts w:cs="Segoe UI"/>
          <w:sz w:val="24"/>
          <w:szCs w:val="24"/>
        </w:rPr>
        <w:t>Nine</w:t>
      </w:r>
      <w:r w:rsidR="005E11FF" w:rsidRPr="005E11FF">
        <w:rPr>
          <w:rFonts w:cs="Segoe UI"/>
          <w:sz w:val="24"/>
          <w:szCs w:val="24"/>
        </w:rPr>
        <w:t xml:space="preserve"> minutes before the crash, the California Highway Patrol (CHP) initiated a traffic break for both eastbound and westbound traffic on I-10 in support of utility work that was being performed about 1.5 miles west of the crash location. At that time, a 2015 International Prostar truck-tractor in combination with a 2012 Utility semitrailer, operated by Tri-State Collision LLC, was traveling westbound on I-10. The combination vehicle stopped when it reached the traffic queue that had formed </w:t>
      </w:r>
      <w:proofErr w:type="gramStart"/>
      <w:r w:rsidR="005E11FF" w:rsidRPr="005E11FF">
        <w:rPr>
          <w:rFonts w:cs="Segoe UI"/>
          <w:sz w:val="24"/>
          <w:szCs w:val="24"/>
        </w:rPr>
        <w:t>as a result of</w:t>
      </w:r>
      <w:proofErr w:type="gramEnd"/>
      <w:r w:rsidR="005E11FF" w:rsidRPr="005E11FF">
        <w:rPr>
          <w:rFonts w:cs="Segoe UI"/>
          <w:sz w:val="24"/>
          <w:szCs w:val="24"/>
        </w:rPr>
        <w:t xml:space="preserve"> the break. </w:t>
      </w:r>
      <w:r w:rsidR="00E871C4">
        <w:rPr>
          <w:rFonts w:cs="Segoe UI"/>
          <w:sz w:val="24"/>
          <w:szCs w:val="24"/>
        </w:rPr>
        <w:t>A few minutes later, t</w:t>
      </w:r>
      <w:r>
        <w:rPr>
          <w:rFonts w:cs="Segoe UI"/>
          <w:sz w:val="24"/>
          <w:szCs w:val="24"/>
        </w:rPr>
        <w:t>he</w:t>
      </w:r>
      <w:r w:rsidR="005E11FF" w:rsidRPr="005E11FF">
        <w:rPr>
          <w:rFonts w:cs="Segoe UI"/>
          <w:sz w:val="24"/>
          <w:szCs w:val="24"/>
        </w:rPr>
        <w:t xml:space="preserve"> CHP released westbound traffic to start moving again. </w:t>
      </w:r>
      <w:r>
        <w:rPr>
          <w:rFonts w:cs="Segoe UI"/>
          <w:sz w:val="24"/>
          <w:szCs w:val="24"/>
        </w:rPr>
        <w:t>H</w:t>
      </w:r>
      <w:r w:rsidR="005E11FF" w:rsidRPr="005E11FF">
        <w:rPr>
          <w:rFonts w:cs="Segoe UI"/>
          <w:sz w:val="24"/>
          <w:szCs w:val="24"/>
        </w:rPr>
        <w:t>owever, the combination vehicle remained stopped in the center-right lane as westbound traffic resumed normal flow</w:t>
      </w:r>
      <w:r w:rsidR="00E871C4">
        <w:rPr>
          <w:rFonts w:cs="Segoe UI"/>
          <w:sz w:val="24"/>
          <w:szCs w:val="24"/>
        </w:rPr>
        <w:t>; the driver fell asleep</w:t>
      </w:r>
      <w:r w:rsidR="005E11FF" w:rsidRPr="005E11FF">
        <w:rPr>
          <w:rFonts w:cs="Segoe UI"/>
          <w:sz w:val="24"/>
          <w:szCs w:val="24"/>
        </w:rPr>
        <w:t>.</w:t>
      </w:r>
      <w:r>
        <w:rPr>
          <w:rFonts w:cs="Segoe UI"/>
          <w:sz w:val="24"/>
          <w:szCs w:val="24"/>
        </w:rPr>
        <w:t xml:space="preserve"> A</w:t>
      </w:r>
      <w:r w:rsidR="005E11FF" w:rsidRPr="005E11FF">
        <w:rPr>
          <w:rFonts w:cs="Segoe UI"/>
          <w:sz w:val="24"/>
          <w:szCs w:val="24"/>
        </w:rPr>
        <w:t xml:space="preserve"> 1996 Motor Coach Industries International Inc. (MCI) 47-passenger motorcoach, operated by USA Holiday, was traveling at highway speed on westbound I-10 in the lane in which the combination vehicle was stopped</w:t>
      </w:r>
      <w:r>
        <w:rPr>
          <w:rFonts w:cs="Segoe UI"/>
          <w:sz w:val="24"/>
          <w:szCs w:val="24"/>
        </w:rPr>
        <w:t xml:space="preserve"> and </w:t>
      </w:r>
      <w:r w:rsidR="005E11FF" w:rsidRPr="005E11FF">
        <w:rPr>
          <w:rFonts w:cs="Segoe UI"/>
          <w:sz w:val="24"/>
          <w:szCs w:val="24"/>
        </w:rPr>
        <w:t>struck the rear of the semitrailer. As a result of the crash, the bus driver and 12 passengers died, and the truck driver and 30 passengers were injured.</w:t>
      </w:r>
    </w:p>
    <w:p w14:paraId="234D898D" w14:textId="5377D5C3" w:rsidR="00B25AF6" w:rsidRPr="00031B19" w:rsidRDefault="00B25AF6" w:rsidP="00B25AF6">
      <w:pPr>
        <w:spacing w:after="0" w:line="240" w:lineRule="auto"/>
        <w:rPr>
          <w:rFonts w:cstheme="minorHAnsi"/>
          <w:b/>
          <w:bCs/>
          <w:sz w:val="24"/>
          <w:szCs w:val="24"/>
        </w:rPr>
      </w:pPr>
    </w:p>
    <w:p w14:paraId="7F4FDB95" w14:textId="7FA4FFF1" w:rsidR="00EA31BD" w:rsidRDefault="005E2C0E" w:rsidP="00B25AF6">
      <w:pPr>
        <w:spacing w:after="0" w:line="240" w:lineRule="auto"/>
        <w:rPr>
          <w:rFonts w:cstheme="minorHAnsi"/>
          <w:b/>
          <w:bCs/>
          <w:sz w:val="24"/>
          <w:szCs w:val="24"/>
        </w:rPr>
      </w:pPr>
      <w:r>
        <w:rPr>
          <w:rFonts w:cstheme="minorHAnsi"/>
          <w:b/>
          <w:bCs/>
          <w:sz w:val="24"/>
          <w:szCs w:val="24"/>
        </w:rPr>
        <w:t>Why It Happened</w:t>
      </w:r>
    </w:p>
    <w:p w14:paraId="7E2CF648" w14:textId="77777777" w:rsidR="00BF36E3" w:rsidRPr="00BF36E3" w:rsidRDefault="00BF36E3" w:rsidP="00BF36E3">
      <w:pPr>
        <w:spacing w:after="0" w:line="240" w:lineRule="auto"/>
        <w:rPr>
          <w:rFonts w:cstheme="minorHAnsi"/>
          <w:b/>
          <w:bCs/>
          <w:sz w:val="24"/>
          <w:szCs w:val="24"/>
        </w:rPr>
      </w:pPr>
    </w:p>
    <w:p w14:paraId="3A84ACBE" w14:textId="65CE551C" w:rsidR="00B37659" w:rsidRPr="005E2C0E" w:rsidRDefault="005E2C0E" w:rsidP="00B25AF6">
      <w:pPr>
        <w:spacing w:after="0" w:line="240" w:lineRule="auto"/>
        <w:rPr>
          <w:rFonts w:cstheme="minorHAnsi"/>
          <w:b/>
          <w:bCs/>
          <w:color w:val="005596"/>
          <w:sz w:val="24"/>
          <w:szCs w:val="24"/>
        </w:rPr>
      </w:pPr>
      <w:r w:rsidRPr="005E2C0E">
        <w:rPr>
          <w:rFonts w:cstheme="minorHAnsi"/>
          <w:b/>
          <w:bCs/>
          <w:color w:val="005596"/>
          <w:sz w:val="24"/>
          <w:szCs w:val="24"/>
        </w:rPr>
        <w:t>Probable Cause</w:t>
      </w:r>
      <w:r w:rsidRPr="005E2C0E">
        <w:rPr>
          <w:rFonts w:cstheme="minorHAnsi"/>
          <w:color w:val="005596"/>
          <w:sz w:val="24"/>
          <w:szCs w:val="24"/>
        </w:rPr>
        <w:t>:</w:t>
      </w:r>
    </w:p>
    <w:p w14:paraId="57F386A4" w14:textId="29754604" w:rsidR="00B25AF6" w:rsidRPr="00300A00" w:rsidRDefault="00300A00" w:rsidP="00300A00">
      <w:pPr>
        <w:shd w:val="clear" w:color="auto" w:fill="FFFFFF"/>
        <w:spacing w:line="240" w:lineRule="auto"/>
        <w:rPr>
          <w:rFonts w:cs="Segoe UI"/>
          <w:sz w:val="24"/>
          <w:szCs w:val="24"/>
        </w:rPr>
      </w:pPr>
      <w:r w:rsidRPr="00300A00">
        <w:rPr>
          <w:rFonts w:cs="Segoe UI"/>
          <w:sz w:val="24"/>
          <w:szCs w:val="24"/>
        </w:rPr>
        <w:t xml:space="preserve">The National Transportation Safety Board </w:t>
      </w:r>
      <w:r w:rsidR="00D23C36" w:rsidRPr="00300A00">
        <w:rPr>
          <w:rFonts w:cs="Segoe UI"/>
          <w:sz w:val="24"/>
          <w:szCs w:val="24"/>
        </w:rPr>
        <w:t>determine</w:t>
      </w:r>
      <w:r w:rsidR="00D23C36">
        <w:rPr>
          <w:rFonts w:cs="Segoe UI"/>
          <w:sz w:val="24"/>
          <w:szCs w:val="24"/>
        </w:rPr>
        <w:t>d</w:t>
      </w:r>
      <w:r w:rsidR="00D23C36" w:rsidRPr="00300A00">
        <w:rPr>
          <w:rFonts w:cs="Segoe UI"/>
          <w:sz w:val="24"/>
          <w:szCs w:val="24"/>
        </w:rPr>
        <w:t xml:space="preserve"> </w:t>
      </w:r>
      <w:r w:rsidRPr="00300A00">
        <w:rPr>
          <w:rFonts w:cs="Segoe UI"/>
          <w:sz w:val="24"/>
          <w:szCs w:val="24"/>
        </w:rPr>
        <w:t>that the probable cause of the Palm Springs, California, crash was (1) the California Department of Transportation’s inadequate transportation management plan for the traffic break, which resulted in a hazardous traffic situation in which law enforcement did not detect the combination vehicle’s lack of movement after the traffic break ended and the bus driver did not receive any advance warning of potential traffic stoppage ahead; (2) the truck driver’s not moving his combination vehicle after the traffic break ended, most likely due to his falling asleep as a result of his undiagnosed moderate-to-severe obstructive sleep apnea; and (3) the bus driver’s lack of action to avoid the crash due to his not perceiving the combination vehicle as stopped, as a result of his fatigue and the fact that he did not expect to encounter stopped traffic.</w:t>
      </w:r>
    </w:p>
    <w:p w14:paraId="3A08DB3C" w14:textId="3B154D55" w:rsidR="00B37659" w:rsidRDefault="00EA5A1C" w:rsidP="00B25AF6">
      <w:pPr>
        <w:spacing w:after="0" w:line="240" w:lineRule="auto"/>
        <w:rPr>
          <w:rFonts w:cstheme="minorHAnsi"/>
          <w:b/>
          <w:bCs/>
          <w:sz w:val="24"/>
          <w:szCs w:val="24"/>
        </w:rPr>
      </w:pPr>
      <w:r>
        <w:rPr>
          <w:rFonts w:cstheme="minorHAnsi"/>
          <w:noProof/>
        </w:rPr>
        <w:pict w14:anchorId="3B449C75">
          <v:rect id="_x0000_i1028" alt="" style="width:468pt;height:.05pt;mso-width-percent:0;mso-height-percent:0;mso-width-percent:0;mso-height-percent:0" o:hralign="center" o:hrstd="t" o:hr="t" fillcolor="#a0a0a0" stroked="f"/>
        </w:pict>
      </w:r>
    </w:p>
    <w:p w14:paraId="1D4F0CB5" w14:textId="77777777" w:rsidR="00ED55FA" w:rsidRPr="00031B19" w:rsidRDefault="00ED55FA" w:rsidP="00B25AF6">
      <w:pPr>
        <w:spacing w:after="0" w:line="240" w:lineRule="auto"/>
        <w:rPr>
          <w:rFonts w:eastAsia="Calibri" w:cstheme="minorHAnsi"/>
          <w:sz w:val="24"/>
          <w:szCs w:val="24"/>
          <w:shd w:val="clear" w:color="auto" w:fill="FFFFFF"/>
        </w:rPr>
      </w:pPr>
    </w:p>
    <w:p w14:paraId="1757B58F" w14:textId="406563C9" w:rsidR="00D14CBE" w:rsidRPr="005E2C0E" w:rsidRDefault="00EA5A1C" w:rsidP="00B25AF6">
      <w:pPr>
        <w:spacing w:after="0" w:line="240" w:lineRule="auto"/>
        <w:rPr>
          <w:rFonts w:cstheme="minorHAnsi"/>
          <w:sz w:val="36"/>
          <w:szCs w:val="36"/>
        </w:rPr>
      </w:pPr>
      <w:r>
        <w:rPr>
          <w:rFonts w:cstheme="minorHAnsi"/>
          <w:noProof/>
        </w:rPr>
        <w:lastRenderedPageBreak/>
        <w:pict w14:anchorId="0CB1F5C8">
          <v:rect id="_x0000_i1029" alt="" style="width:468pt;height:.05pt;mso-width-percent:0;mso-height-percent:0;mso-width-percent:0;mso-height-percent:0" o:hralign="center" o:hrstd="t" o:hr="t" fillcolor="#a0a0a0" stroked="f"/>
        </w:pict>
      </w:r>
    </w:p>
    <w:p w14:paraId="2CF80B8A" w14:textId="11A21CC5" w:rsidR="00B37659" w:rsidRPr="00EA5A1C" w:rsidRDefault="00B37659" w:rsidP="00B25AF6">
      <w:pPr>
        <w:autoSpaceDE w:val="0"/>
        <w:autoSpaceDN w:val="0"/>
        <w:adjustRightInd w:val="0"/>
        <w:spacing w:after="0" w:line="240" w:lineRule="auto"/>
        <w:rPr>
          <w:rFonts w:eastAsia="Calibri" w:cstheme="minorHAnsi"/>
          <w:sz w:val="28"/>
          <w:szCs w:val="28"/>
          <w:shd w:val="clear" w:color="auto" w:fill="FFFFFF"/>
        </w:rPr>
      </w:pPr>
      <w:r w:rsidRPr="00EA5A1C">
        <w:rPr>
          <w:rFonts w:eastAsia="Calibri" w:cstheme="minorHAnsi"/>
          <w:sz w:val="28"/>
          <w:szCs w:val="28"/>
          <w:shd w:val="clear" w:color="auto" w:fill="FFFFFF"/>
        </w:rPr>
        <w:t>Collision Between a Sport Utility Vehicle Operating with Partial Driving Automation and a Crash Attenuator</w:t>
      </w:r>
    </w:p>
    <w:p w14:paraId="13366E7C" w14:textId="2BE73CF2" w:rsidR="00B37659" w:rsidRPr="005E2C0E" w:rsidRDefault="00B37659" w:rsidP="00B25AF6">
      <w:pPr>
        <w:autoSpaceDE w:val="0"/>
        <w:autoSpaceDN w:val="0"/>
        <w:adjustRightInd w:val="0"/>
        <w:spacing w:after="0" w:line="240" w:lineRule="auto"/>
        <w:rPr>
          <w:rFonts w:eastAsia="Calibri" w:cstheme="minorHAnsi"/>
          <w:sz w:val="24"/>
          <w:szCs w:val="24"/>
          <w:shd w:val="clear" w:color="auto" w:fill="FFFFFF"/>
        </w:rPr>
      </w:pPr>
      <w:r w:rsidRPr="005E2C0E">
        <w:rPr>
          <w:rFonts w:eastAsia="Calibri" w:cstheme="minorHAnsi"/>
          <w:sz w:val="24"/>
          <w:szCs w:val="24"/>
          <w:shd w:val="clear" w:color="auto" w:fill="FFFFFF"/>
        </w:rPr>
        <w:t>Mountain View, California</w:t>
      </w:r>
    </w:p>
    <w:p w14:paraId="6119D166" w14:textId="08E58EB5" w:rsidR="00B37659" w:rsidRPr="005E2C0E" w:rsidRDefault="00B37659" w:rsidP="00B25AF6">
      <w:pPr>
        <w:autoSpaceDE w:val="0"/>
        <w:autoSpaceDN w:val="0"/>
        <w:adjustRightInd w:val="0"/>
        <w:spacing w:after="0" w:line="240" w:lineRule="auto"/>
        <w:rPr>
          <w:rFonts w:eastAsia="Calibri" w:cstheme="minorHAnsi"/>
          <w:sz w:val="24"/>
          <w:szCs w:val="24"/>
          <w:shd w:val="clear" w:color="auto" w:fill="FFFFFF"/>
        </w:rPr>
      </w:pPr>
      <w:r w:rsidRPr="005E2C0E">
        <w:rPr>
          <w:rFonts w:eastAsia="Calibri" w:cstheme="minorHAnsi"/>
          <w:sz w:val="24"/>
          <w:szCs w:val="24"/>
          <w:shd w:val="clear" w:color="auto" w:fill="FFFFFF"/>
        </w:rPr>
        <w:t>March 23, 2018</w:t>
      </w:r>
    </w:p>
    <w:p w14:paraId="69A06721" w14:textId="77777777" w:rsidR="00B37659" w:rsidRPr="00031B19" w:rsidRDefault="00B37659" w:rsidP="00B25AF6">
      <w:pPr>
        <w:autoSpaceDE w:val="0"/>
        <w:autoSpaceDN w:val="0"/>
        <w:adjustRightInd w:val="0"/>
        <w:spacing w:after="0" w:line="240" w:lineRule="auto"/>
        <w:rPr>
          <w:rFonts w:eastAsia="Calibri" w:cstheme="minorHAnsi"/>
          <w:sz w:val="24"/>
          <w:szCs w:val="24"/>
          <w:shd w:val="clear" w:color="auto" w:fill="FFFFFF"/>
        </w:rPr>
      </w:pPr>
    </w:p>
    <w:p w14:paraId="578DBC40" w14:textId="346211DB" w:rsidR="00B37659" w:rsidRPr="00031B19" w:rsidRDefault="0001137B" w:rsidP="00B25AF6">
      <w:pPr>
        <w:spacing w:after="0" w:line="240" w:lineRule="auto"/>
        <w:rPr>
          <w:rFonts w:eastAsia="Calibri" w:cstheme="minorHAnsi"/>
          <w:color w:val="000000" w:themeColor="text1"/>
          <w:sz w:val="24"/>
          <w:szCs w:val="24"/>
          <w:shd w:val="clear" w:color="auto" w:fill="FFFFFF"/>
        </w:rPr>
      </w:pPr>
      <w:r>
        <w:t xml:space="preserve">This is an excerpt from the full investigative report. </w:t>
      </w:r>
      <w:r>
        <w:rPr>
          <w:b/>
          <w:bCs/>
        </w:rPr>
        <w:t>This information does not include all the safety issues, findings and recommendations issued in the report, but instead focuses on that which is directly related to the safety item.</w:t>
      </w:r>
      <w:r>
        <w:t xml:space="preserve"> </w:t>
      </w:r>
      <w:r w:rsidR="00EA31BD">
        <w:t>Read the complete</w:t>
      </w:r>
      <w:r>
        <w:t xml:space="preserve"> report: </w:t>
      </w:r>
      <w:hyperlink r:id="rId13" w:history="1">
        <w:r w:rsidR="00CB1E15" w:rsidRPr="00031B19">
          <w:rPr>
            <w:rFonts w:eastAsia="Calibri" w:cstheme="minorHAnsi"/>
            <w:color w:val="0000FF"/>
            <w:sz w:val="24"/>
            <w:szCs w:val="24"/>
            <w:u w:val="single"/>
            <w:shd w:val="clear" w:color="auto" w:fill="FFFFFF"/>
          </w:rPr>
          <w:t>https://www.ntsb.gov/investigations/AccidentReports/Reports/HAR2001.pdf</w:t>
        </w:r>
      </w:hyperlink>
    </w:p>
    <w:p w14:paraId="76E056CB" w14:textId="6607B00B" w:rsidR="00B25AF6" w:rsidRPr="00031B19" w:rsidRDefault="00B25AF6" w:rsidP="00B25AF6">
      <w:pPr>
        <w:spacing w:after="0" w:line="240" w:lineRule="auto"/>
        <w:rPr>
          <w:rFonts w:cstheme="minorHAnsi"/>
          <w:b/>
          <w:bCs/>
          <w:sz w:val="24"/>
          <w:szCs w:val="24"/>
        </w:rPr>
      </w:pPr>
    </w:p>
    <w:p w14:paraId="19860B23" w14:textId="1D3309CF" w:rsidR="000C3E0D" w:rsidRPr="00031B19" w:rsidRDefault="005E2C0E" w:rsidP="00B25AF6">
      <w:pPr>
        <w:spacing w:after="0" w:line="240" w:lineRule="auto"/>
        <w:rPr>
          <w:rFonts w:cstheme="minorHAnsi"/>
          <w:b/>
          <w:bCs/>
          <w:sz w:val="24"/>
          <w:szCs w:val="24"/>
        </w:rPr>
      </w:pPr>
      <w:r w:rsidRPr="00031B19">
        <w:rPr>
          <w:rFonts w:cstheme="minorHAnsi"/>
          <w:b/>
          <w:bCs/>
          <w:sz w:val="24"/>
          <w:szCs w:val="24"/>
        </w:rPr>
        <w:t>What Happened</w:t>
      </w:r>
    </w:p>
    <w:p w14:paraId="2FD42E28" w14:textId="17C7EF8D" w:rsidR="00B25AF6" w:rsidRDefault="008A24C5" w:rsidP="00B25AF6">
      <w:pPr>
        <w:spacing w:after="0" w:line="240" w:lineRule="auto"/>
      </w:pPr>
      <w:r>
        <w:t xml:space="preserve">On March 23, 2018, a 2017 Tesla Model X P100D electric-powered sport utility vehicle (SUV), occupied by a 38-year-old male driver, was traveling on US Highway 101 (US-101) in Mountain View, Santa Clara County, California. As the Tesla approached a paved gore area dividing the main travel lanes of US-101 from the left exit ramp to State Route 85 (SR-85), the vehicle moved to the left and entered the gore. It continued traveling through the gore and struck a previously damaged and nonoperational crash attenuator at a speed of about 71 mph. The impact rotated the SUV counterclockwise and caused the front body structure to separate from the rear of the vehicle. The Tesla was involved in subsequent collisions with two other vehicles. The Tesla’s high-voltage battery was breached in the collision and a </w:t>
      </w:r>
      <w:proofErr w:type="spellStart"/>
      <w:r>
        <w:t>postcrash</w:t>
      </w:r>
      <w:proofErr w:type="spellEnd"/>
      <w:r>
        <w:t xml:space="preserve"> fire ensued. The driver was transported to a local hospital, where he died from blunt-force trauma injuries. </w:t>
      </w:r>
    </w:p>
    <w:p w14:paraId="53CAB1BB" w14:textId="4FF97BE6" w:rsidR="008A24C5" w:rsidRPr="00031B19" w:rsidRDefault="008A24C5" w:rsidP="00B25AF6">
      <w:pPr>
        <w:spacing w:after="0" w:line="240" w:lineRule="auto"/>
        <w:rPr>
          <w:rFonts w:cstheme="minorHAnsi"/>
          <w:sz w:val="24"/>
          <w:szCs w:val="24"/>
        </w:rPr>
      </w:pPr>
    </w:p>
    <w:p w14:paraId="73172768" w14:textId="6A3926C1" w:rsidR="00EA31BD" w:rsidRDefault="005E2C0E" w:rsidP="00B25AF6">
      <w:pPr>
        <w:spacing w:after="0" w:line="240" w:lineRule="auto"/>
        <w:rPr>
          <w:rFonts w:cstheme="minorHAnsi"/>
          <w:b/>
          <w:bCs/>
          <w:sz w:val="24"/>
          <w:szCs w:val="24"/>
        </w:rPr>
      </w:pPr>
      <w:r>
        <w:rPr>
          <w:rFonts w:cstheme="minorHAnsi"/>
          <w:b/>
          <w:bCs/>
          <w:sz w:val="24"/>
          <w:szCs w:val="24"/>
        </w:rPr>
        <w:t>Why it Happened:</w:t>
      </w:r>
    </w:p>
    <w:p w14:paraId="3E1997A8" w14:textId="77777777" w:rsidR="00B25AF6" w:rsidRPr="00031B19" w:rsidRDefault="00B25AF6" w:rsidP="00B25AF6">
      <w:pPr>
        <w:spacing w:after="0" w:line="240" w:lineRule="auto"/>
        <w:rPr>
          <w:rFonts w:cstheme="minorHAnsi"/>
          <w:b/>
          <w:bCs/>
          <w:sz w:val="24"/>
          <w:szCs w:val="24"/>
        </w:rPr>
      </w:pPr>
    </w:p>
    <w:p w14:paraId="530D6901" w14:textId="3D792D65" w:rsidR="000C3E0D" w:rsidRPr="005E2C0E" w:rsidRDefault="005E2C0E" w:rsidP="00B25AF6">
      <w:pPr>
        <w:spacing w:after="0" w:line="240" w:lineRule="auto"/>
        <w:rPr>
          <w:rFonts w:cstheme="minorHAnsi"/>
          <w:b/>
          <w:bCs/>
          <w:color w:val="005596"/>
          <w:sz w:val="24"/>
          <w:szCs w:val="24"/>
        </w:rPr>
      </w:pPr>
      <w:r w:rsidRPr="005E2C0E">
        <w:rPr>
          <w:rFonts w:cstheme="minorHAnsi"/>
          <w:b/>
          <w:bCs/>
          <w:color w:val="005596"/>
          <w:sz w:val="24"/>
          <w:szCs w:val="24"/>
        </w:rPr>
        <w:t>Probable Cause:</w:t>
      </w:r>
    </w:p>
    <w:p w14:paraId="2B6365A5" w14:textId="0462D532" w:rsidR="00B25AF6" w:rsidRPr="00031B19" w:rsidRDefault="00B25AF6" w:rsidP="00B25AF6">
      <w:pPr>
        <w:spacing w:after="0" w:line="240" w:lineRule="auto"/>
        <w:rPr>
          <w:rFonts w:cstheme="minorHAnsi"/>
          <w:b/>
          <w:bCs/>
          <w:sz w:val="24"/>
          <w:szCs w:val="24"/>
        </w:rPr>
      </w:pPr>
      <w:r w:rsidRPr="00031B19">
        <w:rPr>
          <w:rFonts w:cstheme="minorHAnsi"/>
          <w:sz w:val="24"/>
          <w:szCs w:val="24"/>
        </w:rPr>
        <w:t>The probable cause of the Mountain View, California, crash was the Tesla Autopilot system steering the sport utility vehicle into a highway gore area due to system limitations, and the driver’s lack of response due to distraction likely from a cell phone game application and overreliance on the Autopilot partial driving automation system. Contributing to the crash was the Tesla vehicle’s ineffective monitoring of driver engagement, which facilitated the driver’s complacency and inattentiveness. Contributing to the severity of the driver’s injuries was the vehicle’s impact with a crash attenuator barrier that was damaged and nonoperational at the time of the collision due to the California Highway Patrol’s failure to report the damage following a previous crash, and systemic problems with the California Department of Transportation’s maintenance division in repairing traffic safety hardware in a timely manner.</w:t>
      </w:r>
    </w:p>
    <w:p w14:paraId="6AF98AC1" w14:textId="77777777" w:rsidR="00B25AF6" w:rsidRPr="00031B19" w:rsidRDefault="00B25AF6" w:rsidP="00B25AF6">
      <w:pPr>
        <w:spacing w:after="0" w:line="240" w:lineRule="auto"/>
        <w:rPr>
          <w:rFonts w:cstheme="minorHAnsi"/>
          <w:b/>
          <w:bCs/>
          <w:sz w:val="24"/>
          <w:szCs w:val="24"/>
        </w:rPr>
      </w:pPr>
    </w:p>
    <w:p w14:paraId="6383DC0E" w14:textId="31131899" w:rsidR="008A65B0" w:rsidRPr="00031B19" w:rsidRDefault="00EA5A1C" w:rsidP="007C2743">
      <w:pPr>
        <w:rPr>
          <w:rFonts w:cstheme="minorHAnsi"/>
          <w:b/>
          <w:bCs/>
          <w:sz w:val="24"/>
          <w:szCs w:val="24"/>
        </w:rPr>
      </w:pPr>
      <w:r>
        <w:rPr>
          <w:rFonts w:cstheme="minorHAnsi"/>
          <w:noProof/>
        </w:rPr>
        <w:pict w14:anchorId="44A36A97">
          <v:rect id="_x0000_i1030" alt="" style="width:468pt;height:.05pt;mso-width-percent:0;mso-height-percent:0;mso-width-percent:0;mso-height-percent:0" o:hralign="center" o:hrstd="t" o:hr="t" fillcolor="#a0a0a0" stroked="f"/>
        </w:pict>
      </w:r>
    </w:p>
    <w:sectPr w:rsidR="008A65B0" w:rsidRPr="00031B19" w:rsidSect="004A785B">
      <w:headerReference w:type="default" r:id="rId14"/>
      <w:footerReference w:type="even" r:id="rId15"/>
      <w:footerReference w:type="default" r:id="rId16"/>
      <w:pgSz w:w="12240" w:h="15840"/>
      <w:pgMar w:top="1440"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17BF" w14:textId="77777777" w:rsidR="000836B3" w:rsidRDefault="000836B3" w:rsidP="005E2C0E">
      <w:pPr>
        <w:spacing w:after="0" w:line="240" w:lineRule="auto"/>
      </w:pPr>
      <w:r>
        <w:separator/>
      </w:r>
    </w:p>
  </w:endnote>
  <w:endnote w:type="continuationSeparator" w:id="0">
    <w:p w14:paraId="7694C5F7" w14:textId="77777777" w:rsidR="000836B3" w:rsidRDefault="000836B3" w:rsidP="005E2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64786763"/>
      <w:docPartObj>
        <w:docPartGallery w:val="Page Numbers (Bottom of Page)"/>
        <w:docPartUnique/>
      </w:docPartObj>
    </w:sdtPr>
    <w:sdtEndPr>
      <w:rPr>
        <w:rStyle w:val="PageNumber"/>
      </w:rPr>
    </w:sdtEndPr>
    <w:sdtContent>
      <w:p w14:paraId="3598B5CE" w14:textId="551930EF" w:rsidR="00F80404" w:rsidRDefault="00F80404"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38A22B" w14:textId="77777777" w:rsidR="00F80404" w:rsidRDefault="00F804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30435026"/>
      <w:docPartObj>
        <w:docPartGallery w:val="Page Numbers (Bottom of Page)"/>
        <w:docPartUnique/>
      </w:docPartObj>
    </w:sdtPr>
    <w:sdtEndPr>
      <w:rPr>
        <w:rStyle w:val="PageNumber"/>
      </w:rPr>
    </w:sdtEndPr>
    <w:sdtContent>
      <w:p w14:paraId="58501351" w14:textId="0F30A0D3" w:rsidR="00F80404" w:rsidRDefault="00F80404"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7DA88EE" w14:textId="1AC2B73A" w:rsidR="00F80404" w:rsidRDefault="00F80404">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69050" w14:textId="77777777" w:rsidR="000836B3" w:rsidRDefault="000836B3" w:rsidP="005E2C0E">
      <w:pPr>
        <w:spacing w:after="0" w:line="240" w:lineRule="auto"/>
      </w:pPr>
      <w:r>
        <w:separator/>
      </w:r>
    </w:p>
  </w:footnote>
  <w:footnote w:type="continuationSeparator" w:id="0">
    <w:p w14:paraId="13162EC4" w14:textId="77777777" w:rsidR="000836B3" w:rsidRDefault="000836B3" w:rsidP="005E2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298E2" w14:textId="77777777" w:rsidR="005E2C0E" w:rsidRPr="002A0E15" w:rsidRDefault="005E2C0E" w:rsidP="005E2C0E">
    <w:pPr>
      <w:tabs>
        <w:tab w:val="right" w:pos="9360"/>
      </w:tabs>
      <w:spacing w:after="0" w:line="240" w:lineRule="auto"/>
      <w:ind w:left="720" w:hanging="720"/>
      <w:rPr>
        <w:rFonts w:cstheme="minorHAnsi"/>
        <w:b/>
        <w:bCs/>
      </w:rPr>
    </w:pPr>
    <w:r w:rsidRPr="002A0E15">
      <w:t xml:space="preserve">2021–2022 </w:t>
    </w:r>
    <w:r>
      <w:t>NTSB MWL</w:t>
    </w:r>
    <w:r w:rsidRPr="002A0E15">
      <w:t xml:space="preserve"> Advocacy Toolkit</w:t>
    </w:r>
    <w:r w:rsidRPr="002A0E15">
      <w:tab/>
    </w:r>
    <w:r w:rsidRPr="002A0E15">
      <w:rPr>
        <w:b/>
        <w:bCs/>
      </w:rPr>
      <w:t>Appendix B – Report Summaries</w:t>
    </w:r>
  </w:p>
  <w:p w14:paraId="438163E0" w14:textId="77777777" w:rsidR="005E2C0E" w:rsidRDefault="005E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C7A"/>
    <w:multiLevelType w:val="hybridMultilevel"/>
    <w:tmpl w:val="1A3A8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44D30"/>
    <w:multiLevelType w:val="hybridMultilevel"/>
    <w:tmpl w:val="EC40F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658F8"/>
    <w:multiLevelType w:val="hybridMultilevel"/>
    <w:tmpl w:val="B14E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31016"/>
    <w:multiLevelType w:val="hybridMultilevel"/>
    <w:tmpl w:val="ADBED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F4B36"/>
    <w:multiLevelType w:val="hybridMultilevel"/>
    <w:tmpl w:val="3E1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179E2"/>
    <w:multiLevelType w:val="hybridMultilevel"/>
    <w:tmpl w:val="8948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A123B"/>
    <w:multiLevelType w:val="hybridMultilevel"/>
    <w:tmpl w:val="77F20B44"/>
    <w:lvl w:ilvl="0" w:tplc="D3D07164">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56D89"/>
    <w:multiLevelType w:val="hybridMultilevel"/>
    <w:tmpl w:val="45E2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276E8"/>
    <w:multiLevelType w:val="hybridMultilevel"/>
    <w:tmpl w:val="08F4F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3311A"/>
    <w:multiLevelType w:val="hybridMultilevel"/>
    <w:tmpl w:val="CC90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34DDD"/>
    <w:multiLevelType w:val="hybridMultilevel"/>
    <w:tmpl w:val="AF305C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47D13"/>
    <w:multiLevelType w:val="hybridMultilevel"/>
    <w:tmpl w:val="89225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57C46"/>
    <w:multiLevelType w:val="hybridMultilevel"/>
    <w:tmpl w:val="C7A6D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A97494"/>
    <w:multiLevelType w:val="hybridMultilevel"/>
    <w:tmpl w:val="51BC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34458"/>
    <w:multiLevelType w:val="hybridMultilevel"/>
    <w:tmpl w:val="4BE85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06769"/>
    <w:multiLevelType w:val="hybridMultilevel"/>
    <w:tmpl w:val="F12A64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6CA826C5"/>
    <w:multiLevelType w:val="hybridMultilevel"/>
    <w:tmpl w:val="29EC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FF01FC"/>
    <w:multiLevelType w:val="hybridMultilevel"/>
    <w:tmpl w:val="892CF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5"/>
  </w:num>
  <w:num w:numId="4">
    <w:abstractNumId w:val="21"/>
  </w:num>
  <w:num w:numId="5">
    <w:abstractNumId w:val="12"/>
  </w:num>
  <w:num w:numId="6">
    <w:abstractNumId w:val="8"/>
  </w:num>
  <w:num w:numId="7">
    <w:abstractNumId w:val="10"/>
  </w:num>
  <w:num w:numId="8">
    <w:abstractNumId w:val="5"/>
  </w:num>
  <w:num w:numId="9">
    <w:abstractNumId w:val="18"/>
  </w:num>
  <w:num w:numId="10">
    <w:abstractNumId w:val="7"/>
  </w:num>
  <w:num w:numId="11">
    <w:abstractNumId w:val="2"/>
  </w:num>
  <w:num w:numId="12">
    <w:abstractNumId w:val="0"/>
  </w:num>
  <w:num w:numId="13">
    <w:abstractNumId w:val="4"/>
  </w:num>
  <w:num w:numId="14">
    <w:abstractNumId w:val="17"/>
  </w:num>
  <w:num w:numId="15">
    <w:abstractNumId w:val="13"/>
  </w:num>
  <w:num w:numId="16">
    <w:abstractNumId w:val="9"/>
  </w:num>
  <w:num w:numId="17">
    <w:abstractNumId w:val="3"/>
  </w:num>
  <w:num w:numId="18">
    <w:abstractNumId w:val="14"/>
  </w:num>
  <w:num w:numId="19">
    <w:abstractNumId w:val="19"/>
  </w:num>
  <w:num w:numId="20">
    <w:abstractNumId w:val="1"/>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1137B"/>
    <w:rsid w:val="00031B19"/>
    <w:rsid w:val="000354AD"/>
    <w:rsid w:val="0005414A"/>
    <w:rsid w:val="00073AD4"/>
    <w:rsid w:val="000836B3"/>
    <w:rsid w:val="00090C96"/>
    <w:rsid w:val="0009275F"/>
    <w:rsid w:val="000C0196"/>
    <w:rsid w:val="000C3E0D"/>
    <w:rsid w:val="00116E9B"/>
    <w:rsid w:val="0015516F"/>
    <w:rsid w:val="001848BE"/>
    <w:rsid w:val="00286BAC"/>
    <w:rsid w:val="002C1EC4"/>
    <w:rsid w:val="002D6ABD"/>
    <w:rsid w:val="00300A00"/>
    <w:rsid w:val="003033AF"/>
    <w:rsid w:val="00304B26"/>
    <w:rsid w:val="003254FB"/>
    <w:rsid w:val="00334D6F"/>
    <w:rsid w:val="003A091F"/>
    <w:rsid w:val="003A51C8"/>
    <w:rsid w:val="003B0A10"/>
    <w:rsid w:val="00417B25"/>
    <w:rsid w:val="00464D2A"/>
    <w:rsid w:val="004A785B"/>
    <w:rsid w:val="004B26DA"/>
    <w:rsid w:val="00542699"/>
    <w:rsid w:val="00543CE8"/>
    <w:rsid w:val="005C2837"/>
    <w:rsid w:val="005E11FF"/>
    <w:rsid w:val="005E2C0E"/>
    <w:rsid w:val="0060536A"/>
    <w:rsid w:val="0061218E"/>
    <w:rsid w:val="00656619"/>
    <w:rsid w:val="0069566A"/>
    <w:rsid w:val="00750695"/>
    <w:rsid w:val="00754178"/>
    <w:rsid w:val="007956D4"/>
    <w:rsid w:val="007C2743"/>
    <w:rsid w:val="00850B3F"/>
    <w:rsid w:val="008669E8"/>
    <w:rsid w:val="008905C2"/>
    <w:rsid w:val="00896A5D"/>
    <w:rsid w:val="008A24C5"/>
    <w:rsid w:val="008A65B0"/>
    <w:rsid w:val="009239EB"/>
    <w:rsid w:val="009572FC"/>
    <w:rsid w:val="00980F46"/>
    <w:rsid w:val="009A582E"/>
    <w:rsid w:val="00A55473"/>
    <w:rsid w:val="00A66262"/>
    <w:rsid w:val="00A90EFD"/>
    <w:rsid w:val="00A922CD"/>
    <w:rsid w:val="00A95645"/>
    <w:rsid w:val="00AF38BD"/>
    <w:rsid w:val="00B17DCD"/>
    <w:rsid w:val="00B25AF6"/>
    <w:rsid w:val="00B37659"/>
    <w:rsid w:val="00B434E6"/>
    <w:rsid w:val="00B54F61"/>
    <w:rsid w:val="00B60F21"/>
    <w:rsid w:val="00B83713"/>
    <w:rsid w:val="00B92E54"/>
    <w:rsid w:val="00BF36E3"/>
    <w:rsid w:val="00C072A7"/>
    <w:rsid w:val="00C51FD8"/>
    <w:rsid w:val="00C7468E"/>
    <w:rsid w:val="00CB1E15"/>
    <w:rsid w:val="00CD2300"/>
    <w:rsid w:val="00D14CBE"/>
    <w:rsid w:val="00D23C36"/>
    <w:rsid w:val="00D72018"/>
    <w:rsid w:val="00D90EEB"/>
    <w:rsid w:val="00D92059"/>
    <w:rsid w:val="00DC5EFE"/>
    <w:rsid w:val="00E05A98"/>
    <w:rsid w:val="00E41F18"/>
    <w:rsid w:val="00E629CB"/>
    <w:rsid w:val="00E871C4"/>
    <w:rsid w:val="00EA16E3"/>
    <w:rsid w:val="00EA31BD"/>
    <w:rsid w:val="00EA5A1C"/>
    <w:rsid w:val="00ED55FA"/>
    <w:rsid w:val="00F462D6"/>
    <w:rsid w:val="00F54DDC"/>
    <w:rsid w:val="00F6034D"/>
    <w:rsid w:val="00F80404"/>
    <w:rsid w:val="00F95BFD"/>
    <w:rsid w:val="00FB5FD4"/>
    <w:rsid w:val="00FD2849"/>
    <w:rsid w:val="0DCDFC66"/>
    <w:rsid w:val="1008F93A"/>
    <w:rsid w:val="38932D1B"/>
    <w:rsid w:val="474B11A4"/>
    <w:rsid w:val="505D9E8F"/>
    <w:rsid w:val="5E886CDA"/>
    <w:rsid w:val="6C9BA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411CC705"/>
  <w15:chartTrackingRefBased/>
  <w15:docId w15:val="{F5FFE683-D352-433D-A70E-7AF2CB4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26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5C283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UnresolvedMention">
    <w:name w:val="Unresolved Mention"/>
    <w:basedOn w:val="DefaultParagraphFont"/>
    <w:uiPriority w:val="99"/>
    <w:semiHidden/>
    <w:unhideWhenUsed/>
    <w:rsid w:val="00B37659"/>
    <w:rPr>
      <w:color w:val="605E5C"/>
      <w:shd w:val="clear" w:color="auto" w:fill="E1DFDD"/>
    </w:rPr>
  </w:style>
  <w:style w:type="character" w:styleId="FollowedHyperlink">
    <w:name w:val="FollowedHyperlink"/>
    <w:basedOn w:val="DefaultParagraphFont"/>
    <w:uiPriority w:val="99"/>
    <w:semiHidden/>
    <w:unhideWhenUsed/>
    <w:rsid w:val="00B37659"/>
    <w:rPr>
      <w:color w:val="954F72" w:themeColor="followedHyperlink"/>
      <w:u w:val="single"/>
    </w:rPr>
  </w:style>
  <w:style w:type="character" w:customStyle="1" w:styleId="Heading3Char">
    <w:name w:val="Heading 3 Char"/>
    <w:basedOn w:val="DefaultParagraphFont"/>
    <w:link w:val="Heading3"/>
    <w:uiPriority w:val="9"/>
    <w:rsid w:val="005C2837"/>
    <w:rPr>
      <w:rFonts w:ascii="Times New Roman" w:eastAsia="Times New Roman" w:hAnsi="Times New Roman" w:cs="Times New Roman"/>
      <w:b/>
      <w:bCs/>
      <w:sz w:val="27"/>
      <w:szCs w:val="27"/>
    </w:rPr>
  </w:style>
  <w:style w:type="paragraph" w:customStyle="1" w:styleId="ms-rteelement-p">
    <w:name w:val="ms-rteelement-p"/>
    <w:basedOn w:val="Normal"/>
    <w:rsid w:val="005C2837"/>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A55473"/>
    <w:rPr>
      <w:sz w:val="16"/>
      <w:szCs w:val="16"/>
    </w:rPr>
  </w:style>
  <w:style w:type="paragraph" w:styleId="CommentText">
    <w:name w:val="annotation text"/>
    <w:basedOn w:val="Normal"/>
    <w:link w:val="CommentTextChar"/>
    <w:uiPriority w:val="99"/>
    <w:semiHidden/>
    <w:unhideWhenUsed/>
    <w:rsid w:val="00A55473"/>
    <w:pPr>
      <w:spacing w:line="240" w:lineRule="auto"/>
    </w:pPr>
    <w:rPr>
      <w:sz w:val="20"/>
      <w:szCs w:val="20"/>
    </w:rPr>
  </w:style>
  <w:style w:type="character" w:customStyle="1" w:styleId="CommentTextChar">
    <w:name w:val="Comment Text Char"/>
    <w:basedOn w:val="DefaultParagraphFont"/>
    <w:link w:val="CommentText"/>
    <w:uiPriority w:val="99"/>
    <w:semiHidden/>
    <w:rsid w:val="00A55473"/>
    <w:rPr>
      <w:sz w:val="20"/>
      <w:szCs w:val="20"/>
    </w:rPr>
  </w:style>
  <w:style w:type="paragraph" w:styleId="CommentSubject">
    <w:name w:val="annotation subject"/>
    <w:basedOn w:val="CommentText"/>
    <w:next w:val="CommentText"/>
    <w:link w:val="CommentSubjectChar"/>
    <w:uiPriority w:val="99"/>
    <w:semiHidden/>
    <w:unhideWhenUsed/>
    <w:rsid w:val="00A55473"/>
    <w:rPr>
      <w:b/>
      <w:bCs/>
    </w:rPr>
  </w:style>
  <w:style w:type="character" w:customStyle="1" w:styleId="CommentSubjectChar">
    <w:name w:val="Comment Subject Char"/>
    <w:basedOn w:val="CommentTextChar"/>
    <w:link w:val="CommentSubject"/>
    <w:uiPriority w:val="99"/>
    <w:semiHidden/>
    <w:rsid w:val="00A55473"/>
    <w:rPr>
      <w:b/>
      <w:bCs/>
      <w:sz w:val="20"/>
      <w:szCs w:val="20"/>
    </w:rPr>
  </w:style>
  <w:style w:type="character" w:customStyle="1" w:styleId="Heading1Char">
    <w:name w:val="Heading 1 Char"/>
    <w:basedOn w:val="DefaultParagraphFont"/>
    <w:link w:val="Heading1"/>
    <w:uiPriority w:val="9"/>
    <w:rsid w:val="00542699"/>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5E2C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C0E"/>
  </w:style>
  <w:style w:type="paragraph" w:styleId="Footer">
    <w:name w:val="footer"/>
    <w:basedOn w:val="Normal"/>
    <w:link w:val="FooterChar"/>
    <w:uiPriority w:val="99"/>
    <w:unhideWhenUsed/>
    <w:rsid w:val="005E2C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C0E"/>
  </w:style>
  <w:style w:type="character" w:styleId="PageNumber">
    <w:name w:val="page number"/>
    <w:basedOn w:val="DefaultParagraphFont"/>
    <w:uiPriority w:val="99"/>
    <w:semiHidden/>
    <w:unhideWhenUsed/>
    <w:rsid w:val="00F80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032116">
      <w:bodyDiv w:val="1"/>
      <w:marLeft w:val="0"/>
      <w:marRight w:val="0"/>
      <w:marTop w:val="0"/>
      <w:marBottom w:val="0"/>
      <w:divBdr>
        <w:top w:val="none" w:sz="0" w:space="0" w:color="auto"/>
        <w:left w:val="none" w:sz="0" w:space="0" w:color="auto"/>
        <w:bottom w:val="none" w:sz="0" w:space="0" w:color="auto"/>
        <w:right w:val="none" w:sz="0" w:space="0" w:color="auto"/>
      </w:divBdr>
    </w:div>
    <w:div w:id="1320307580">
      <w:bodyDiv w:val="1"/>
      <w:marLeft w:val="0"/>
      <w:marRight w:val="0"/>
      <w:marTop w:val="0"/>
      <w:marBottom w:val="0"/>
      <w:divBdr>
        <w:top w:val="none" w:sz="0" w:space="0" w:color="auto"/>
        <w:left w:val="none" w:sz="0" w:space="0" w:color="auto"/>
        <w:bottom w:val="none" w:sz="0" w:space="0" w:color="auto"/>
        <w:right w:val="none" w:sz="0" w:space="0" w:color="auto"/>
      </w:divBdr>
    </w:div>
    <w:div w:id="1910925311">
      <w:bodyDiv w:val="1"/>
      <w:marLeft w:val="0"/>
      <w:marRight w:val="0"/>
      <w:marTop w:val="0"/>
      <w:marBottom w:val="0"/>
      <w:divBdr>
        <w:top w:val="none" w:sz="0" w:space="0" w:color="auto"/>
        <w:left w:val="none" w:sz="0" w:space="0" w:color="auto"/>
        <w:bottom w:val="none" w:sz="0" w:space="0" w:color="auto"/>
        <w:right w:val="none" w:sz="0" w:space="0" w:color="auto"/>
      </w:divBdr>
      <w:divsChild>
        <w:div w:id="1787657201">
          <w:marLeft w:val="0"/>
          <w:marRight w:val="0"/>
          <w:marTop w:val="150"/>
          <w:marBottom w:val="225"/>
          <w:divBdr>
            <w:top w:val="none" w:sz="0" w:space="0" w:color="auto"/>
            <w:left w:val="none" w:sz="0" w:space="0" w:color="auto"/>
            <w:bottom w:val="single" w:sz="6" w:space="4" w:color="E9E8E8"/>
            <w:right w:val="none" w:sz="0" w:space="0" w:color="auto"/>
          </w:divBdr>
          <w:divsChild>
            <w:div w:id="404105769">
              <w:marLeft w:val="0"/>
              <w:marRight w:val="0"/>
              <w:marTop w:val="0"/>
              <w:marBottom w:val="0"/>
              <w:divBdr>
                <w:top w:val="none" w:sz="0" w:space="0" w:color="auto"/>
                <w:left w:val="none" w:sz="0" w:space="0" w:color="auto"/>
                <w:bottom w:val="none" w:sz="0" w:space="0" w:color="auto"/>
                <w:right w:val="none" w:sz="0" w:space="0" w:color="auto"/>
              </w:divBdr>
            </w:div>
          </w:divsChild>
        </w:div>
        <w:div w:id="547882257">
          <w:marLeft w:val="0"/>
          <w:marRight w:val="0"/>
          <w:marTop w:val="0"/>
          <w:marBottom w:val="0"/>
          <w:divBdr>
            <w:top w:val="none" w:sz="0" w:space="0" w:color="auto"/>
            <w:left w:val="none" w:sz="0" w:space="0" w:color="auto"/>
            <w:bottom w:val="none" w:sz="0" w:space="0" w:color="auto"/>
            <w:right w:val="none" w:sz="0" w:space="0" w:color="auto"/>
          </w:divBdr>
          <w:divsChild>
            <w:div w:id="1297376447">
              <w:marLeft w:val="0"/>
              <w:marRight w:val="150"/>
              <w:marTop w:val="0"/>
              <w:marBottom w:val="0"/>
              <w:divBdr>
                <w:top w:val="none" w:sz="0" w:space="0" w:color="auto"/>
                <w:left w:val="none" w:sz="0" w:space="0" w:color="auto"/>
                <w:bottom w:val="none" w:sz="0" w:space="0" w:color="auto"/>
                <w:right w:val="none" w:sz="0" w:space="0" w:color="auto"/>
              </w:divBdr>
              <w:divsChild>
                <w:div w:id="51587477">
                  <w:marLeft w:val="0"/>
                  <w:marRight w:val="0"/>
                  <w:marTop w:val="0"/>
                  <w:marBottom w:val="0"/>
                  <w:divBdr>
                    <w:top w:val="none" w:sz="0" w:space="0" w:color="auto"/>
                    <w:left w:val="none" w:sz="0" w:space="0" w:color="auto"/>
                    <w:bottom w:val="none" w:sz="0" w:space="0" w:color="auto"/>
                    <w:right w:val="none" w:sz="0" w:space="0" w:color="auto"/>
                  </w:divBdr>
                  <w:divsChild>
                    <w:div w:id="1552812850">
                      <w:marLeft w:val="0"/>
                      <w:marRight w:val="0"/>
                      <w:marTop w:val="0"/>
                      <w:marBottom w:val="0"/>
                      <w:divBdr>
                        <w:top w:val="none" w:sz="0" w:space="0" w:color="auto"/>
                        <w:left w:val="none" w:sz="0" w:space="0" w:color="auto"/>
                        <w:bottom w:val="none" w:sz="0" w:space="0" w:color="auto"/>
                        <w:right w:val="none" w:sz="0" w:space="0" w:color="auto"/>
                      </w:divBdr>
                      <w:divsChild>
                        <w:div w:id="178592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17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tsb.gov/investigations/AccidentReports/Reports/HAR200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tsb.gov/investigations/AccidentReports/Reports/HAR1704.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tsb.gov/safety/safety-studies/Documents/SIR1501.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2325D-CC0E-494C-A1D2-2DF9AC7B49E7}">
  <ds:schemaRefs>
    <ds:schemaRef ds:uri="http://schemas.microsoft.com/office/2006/metadata/properties"/>
    <ds:schemaRef ds:uri="http://www.w3.org/XML/1998/namespace"/>
    <ds:schemaRef ds:uri="96845b75-3ff2-4095-8524-470728d9e508"/>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7E072CC-1268-40E7-BA5B-E85E66676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C5DB9-DD1A-4DEE-913F-C1D1942289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1531</Words>
  <Characters>8727</Characters>
  <Application>Microsoft Office Word</Application>
  <DocSecurity>0</DocSecurity>
  <Lines>72</Lines>
  <Paragraphs>20</Paragraphs>
  <ScaleCrop>false</ScaleCrop>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Walton Leah</cp:lastModifiedBy>
  <cp:revision>40</cp:revision>
  <dcterms:created xsi:type="dcterms:W3CDTF">2021-03-16T19:49:00Z</dcterms:created>
  <dcterms:modified xsi:type="dcterms:W3CDTF">2021-11-17T15:17:00Z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